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4D13" w:rsidRDefault="00FA417E">
      <w:r>
        <w:rPr>
          <w:noProof/>
        </w:rPr>
        <w:drawing>
          <wp:anchor distT="0" distB="0" distL="114300" distR="114300" simplePos="0" relativeHeight="251934720" behindDoc="0" locked="0" layoutInCell="1" allowOverlap="1">
            <wp:simplePos x="0" y="0"/>
            <wp:positionH relativeFrom="column">
              <wp:posOffset>-933450</wp:posOffset>
            </wp:positionH>
            <wp:positionV relativeFrom="paragraph">
              <wp:posOffset>-1089660</wp:posOffset>
            </wp:positionV>
            <wp:extent cx="7579995" cy="10864850"/>
            <wp:effectExtent l="19050" t="0" r="1905" b="0"/>
            <wp:wrapNone/>
            <wp:docPr id="235" name="Picture 31" descr="Proceeding ICONLEE 2016   ECON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 ICONLEE 2016   ECONOMIC.jpg"/>
                    <pic:cNvPicPr/>
                  </pic:nvPicPr>
                  <pic:blipFill>
                    <a:blip r:embed="rId8" cstate="print"/>
                    <a:srcRect l="50529"/>
                    <a:stretch>
                      <a:fillRect/>
                    </a:stretch>
                  </pic:blipFill>
                  <pic:spPr>
                    <a:xfrm>
                      <a:off x="0" y="0"/>
                      <a:ext cx="7579995" cy="10864850"/>
                    </a:xfrm>
                    <a:prstGeom prst="rect">
                      <a:avLst/>
                    </a:prstGeom>
                  </pic:spPr>
                </pic:pic>
              </a:graphicData>
            </a:graphic>
          </wp:anchor>
        </w:drawing>
      </w:r>
      <w:r w:rsidR="00C10BA2">
        <w:rPr>
          <w:noProof/>
        </w:rPr>
        <w:pict>
          <v:rect id="_x0000_s1913" style="position:absolute;left:0;text-align:left;margin-left:118.7pt;margin-top:-42.15pt;width:252.7pt;height:50.8pt;z-index:251937792;mso-position-horizontal-relative:text;mso-position-vertical-relative:text" filled="f" stroked="f">
            <v:textbox>
              <w:txbxContent>
                <w:p w:rsidR="005F4D13" w:rsidRPr="00233C16" w:rsidRDefault="005F4D13" w:rsidP="005F4D13">
                  <w:pPr>
                    <w:pStyle w:val="Default"/>
                    <w:jc w:val="right"/>
                    <w:rPr>
                      <w:b/>
                      <w:color w:val="auto"/>
                      <w:sz w:val="40"/>
                    </w:rPr>
                  </w:pPr>
                  <w:r w:rsidRPr="00233C16">
                    <w:rPr>
                      <w:b/>
                      <w:color w:val="auto"/>
                      <w:sz w:val="40"/>
                      <w:lang w:val="en-US"/>
                    </w:rPr>
                    <w:t>ISBN 978-</w:t>
                  </w:r>
                  <w:r w:rsidR="00FC0F56">
                    <w:rPr>
                      <w:b/>
                      <w:color w:val="auto"/>
                      <w:sz w:val="40"/>
                      <w:lang w:val="en-US"/>
                    </w:rPr>
                    <w:t>6</w:t>
                  </w:r>
                  <w:r w:rsidRPr="00233C16">
                    <w:rPr>
                      <w:b/>
                      <w:color w:val="auto"/>
                      <w:sz w:val="40"/>
                      <w:lang w:val="en-US"/>
                    </w:rPr>
                    <w:t>02-74135-3-5</w:t>
                  </w:r>
                </w:p>
              </w:txbxContent>
            </v:textbox>
          </v:rect>
        </w:pict>
      </w:r>
      <w:r w:rsidR="005F4D13">
        <w:br w:type="page"/>
      </w:r>
    </w:p>
    <w:tbl>
      <w:tblPr>
        <w:tblW w:w="0" w:type="auto"/>
        <w:tblLook w:val="04A0"/>
      </w:tblPr>
      <w:tblGrid>
        <w:gridCol w:w="1242"/>
        <w:gridCol w:w="1134"/>
        <w:gridCol w:w="2352"/>
        <w:gridCol w:w="4514"/>
      </w:tblGrid>
      <w:tr w:rsidR="00725F8F" w:rsidRPr="00707471" w:rsidTr="008A0317">
        <w:tc>
          <w:tcPr>
            <w:tcW w:w="1242" w:type="dxa"/>
            <w:vAlign w:val="center"/>
          </w:tcPr>
          <w:p w:rsidR="00725F8F" w:rsidRPr="00707471" w:rsidRDefault="00725F8F" w:rsidP="001F4E1F">
            <w:pPr>
              <w:pStyle w:val="Default"/>
              <w:ind w:left="142" w:right="-69"/>
              <w:rPr>
                <w:color w:val="auto"/>
                <w:lang w:val="en-US"/>
              </w:rPr>
            </w:pPr>
            <w:r w:rsidRPr="00707471">
              <w:rPr>
                <w:noProof/>
                <w:color w:val="auto"/>
                <w:lang w:val="en-US"/>
              </w:rPr>
              <w:lastRenderedPageBreak/>
              <w:drawing>
                <wp:inline distT="0" distB="0" distL="0" distR="0">
                  <wp:extent cx="552450" cy="571500"/>
                  <wp:effectExtent l="19050" t="0" r="0" b="0"/>
                  <wp:docPr id="37"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9" cstate="print">
                            <a:clrChange>
                              <a:clrFrom>
                                <a:srgbClr val="FFFFFF"/>
                              </a:clrFrom>
                              <a:clrTo>
                                <a:srgbClr val="FFFFFF">
                                  <a:alpha val="0"/>
                                </a:srgbClr>
                              </a:clrTo>
                            </a:clrChange>
                          </a:blip>
                          <a:srcRect l="6290"/>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1134" w:type="dxa"/>
            <w:vAlign w:val="center"/>
          </w:tcPr>
          <w:p w:rsidR="00725F8F" w:rsidRPr="00707471" w:rsidRDefault="00725F8F" w:rsidP="001F4E1F">
            <w:pPr>
              <w:pStyle w:val="Default"/>
              <w:ind w:left="-147" w:right="33"/>
              <w:jc w:val="right"/>
              <w:rPr>
                <w:b/>
                <w:color w:val="auto"/>
                <w:lang w:val="en-US"/>
              </w:rPr>
            </w:pPr>
            <w:r w:rsidRPr="00707471">
              <w:rPr>
                <w:noProof/>
                <w:color w:val="auto"/>
                <w:kern w:val="36"/>
                <w:sz w:val="28"/>
                <w:szCs w:val="28"/>
                <w:lang w:val="en-US"/>
              </w:rPr>
              <w:drawing>
                <wp:inline distT="0" distB="0" distL="0" distR="0">
                  <wp:extent cx="504825" cy="504825"/>
                  <wp:effectExtent l="19050" t="0" r="9525" b="0"/>
                  <wp:docPr id="38" name="Picture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jpg"/>
                          <pic:cNvPicPr>
                            <a:picLocks noChangeAspect="1" noChangeArrowheads="1"/>
                          </pic:cNvPicPr>
                        </pic:nvPicPr>
                        <pic:blipFill>
                          <a:blip r:embed="rId10"/>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2352" w:type="dxa"/>
          </w:tcPr>
          <w:p w:rsidR="00725F8F" w:rsidRPr="00707471" w:rsidRDefault="005F4D13" w:rsidP="001F4E1F">
            <w:pPr>
              <w:pStyle w:val="Default"/>
              <w:ind w:left="-93" w:right="-141"/>
              <w:rPr>
                <w:b/>
                <w:color w:val="auto"/>
                <w:lang w:val="en-US"/>
              </w:rPr>
            </w:pPr>
            <w:r w:rsidRPr="005F4D13">
              <w:rPr>
                <w:b/>
                <w:noProof/>
                <w:color w:val="auto"/>
                <w:lang w:val="en-US"/>
              </w:rPr>
              <w:drawing>
                <wp:anchor distT="0" distB="0" distL="114300" distR="114300" simplePos="0" relativeHeight="251936768" behindDoc="0" locked="0" layoutInCell="1" allowOverlap="1">
                  <wp:simplePos x="0" y="0"/>
                  <wp:positionH relativeFrom="column">
                    <wp:posOffset>-2432685</wp:posOffset>
                  </wp:positionH>
                  <wp:positionV relativeFrom="paragraph">
                    <wp:posOffset>-914400</wp:posOffset>
                  </wp:positionV>
                  <wp:extent cx="7580630" cy="10687050"/>
                  <wp:effectExtent l="19050" t="0" r="1270" b="0"/>
                  <wp:wrapNone/>
                  <wp:docPr id="236" name="Picture 31" descr="Proceeding ICONLEE 2016   ECONO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eding ICONLEE 2016   ECONOMIC.jpg"/>
                          <pic:cNvPicPr/>
                        </pic:nvPicPr>
                        <pic:blipFill>
                          <a:blip r:embed="rId8" cstate="print">
                            <a:grayscl/>
                          </a:blip>
                          <a:srcRect l="50529"/>
                          <a:stretch>
                            <a:fillRect/>
                          </a:stretch>
                        </pic:blipFill>
                        <pic:spPr>
                          <a:xfrm>
                            <a:off x="0" y="0"/>
                            <a:ext cx="7580630" cy="10687050"/>
                          </a:xfrm>
                          <a:prstGeom prst="rect">
                            <a:avLst/>
                          </a:prstGeom>
                        </pic:spPr>
                      </pic:pic>
                    </a:graphicData>
                  </a:graphic>
                </wp:anchor>
              </w:drawing>
            </w:r>
          </w:p>
        </w:tc>
        <w:tc>
          <w:tcPr>
            <w:tcW w:w="4514" w:type="dxa"/>
          </w:tcPr>
          <w:p w:rsidR="00725F8F" w:rsidRPr="00707471" w:rsidRDefault="00725F8F" w:rsidP="001F4E1F">
            <w:pPr>
              <w:pStyle w:val="Default"/>
              <w:rPr>
                <w:color w:val="auto"/>
                <w:sz w:val="14"/>
                <w:lang w:val="en-US"/>
              </w:rPr>
            </w:pPr>
          </w:p>
          <w:tbl>
            <w:tblPr>
              <w:tblW w:w="2930" w:type="dxa"/>
              <w:tblInd w:w="1368" w:type="dxa"/>
              <w:tblBorders>
                <w:top w:val="single" w:sz="4" w:space="0" w:color="auto"/>
                <w:bottom w:val="single" w:sz="4" w:space="0" w:color="auto"/>
              </w:tblBorders>
              <w:tblLook w:val="04A0"/>
            </w:tblPr>
            <w:tblGrid>
              <w:gridCol w:w="2930"/>
            </w:tblGrid>
            <w:tr w:rsidR="00725F8F" w:rsidRPr="00707471" w:rsidTr="008A0317">
              <w:tc>
                <w:tcPr>
                  <w:tcW w:w="2930" w:type="dxa"/>
                  <w:tcBorders>
                    <w:top w:val="thickThinSmallGap" w:sz="24" w:space="0" w:color="auto"/>
                    <w:bottom w:val="thinThickSmallGap" w:sz="24" w:space="0" w:color="auto"/>
                  </w:tcBorders>
                </w:tcPr>
                <w:p w:rsidR="00725F8F" w:rsidRPr="00707471" w:rsidRDefault="00725F8F" w:rsidP="001F4E1F">
                  <w:pPr>
                    <w:pStyle w:val="Default"/>
                    <w:rPr>
                      <w:color w:val="auto"/>
                      <w:sz w:val="4"/>
                      <w:szCs w:val="16"/>
                      <w:lang w:val="en-US"/>
                    </w:rPr>
                  </w:pPr>
                </w:p>
                <w:p w:rsidR="00725F8F" w:rsidRPr="00707471" w:rsidRDefault="00FC0F56" w:rsidP="001F4E1F">
                  <w:pPr>
                    <w:pStyle w:val="Default"/>
                    <w:jc w:val="center"/>
                    <w:rPr>
                      <w:color w:val="auto"/>
                      <w:lang w:val="en-US"/>
                    </w:rPr>
                  </w:pPr>
                  <w:r>
                    <w:rPr>
                      <w:color w:val="auto"/>
                      <w:lang w:val="en-US"/>
                    </w:rPr>
                    <w:t>ISBN 978-602-74135-3-5</w:t>
                  </w:r>
                </w:p>
                <w:p w:rsidR="00725F8F" w:rsidRPr="00707471" w:rsidRDefault="00725F8F" w:rsidP="001F4E1F">
                  <w:pPr>
                    <w:pStyle w:val="Default"/>
                    <w:rPr>
                      <w:color w:val="auto"/>
                      <w:sz w:val="4"/>
                      <w:szCs w:val="16"/>
                      <w:lang w:val="en-US"/>
                    </w:rPr>
                  </w:pPr>
                </w:p>
              </w:tc>
            </w:tr>
          </w:tbl>
          <w:p w:rsidR="00725F8F" w:rsidRPr="00707471" w:rsidRDefault="00725F8F" w:rsidP="001F4E1F">
            <w:pPr>
              <w:pStyle w:val="Default"/>
              <w:rPr>
                <w:color w:val="auto"/>
                <w:lang w:val="en-US"/>
              </w:rPr>
            </w:pPr>
          </w:p>
        </w:tc>
      </w:tr>
    </w:tbl>
    <w:p w:rsidR="005D6B11" w:rsidRDefault="00C10BA2" w:rsidP="001F4E1F">
      <w:pPr>
        <w:spacing w:before="0" w:after="0"/>
        <w:ind w:left="0"/>
        <w:jc w:val="center"/>
        <w:rPr>
          <w:sz w:val="34"/>
          <w:szCs w:val="34"/>
        </w:rPr>
      </w:pPr>
      <w:r>
        <w:rPr>
          <w:noProof/>
          <w:sz w:val="34"/>
          <w:szCs w:val="34"/>
        </w:rPr>
        <w:pict>
          <v:rect id="_x0000_s1914" style="position:absolute;left:0;text-align:left;margin-left:130.7pt;margin-top:-75.15pt;width:252.7pt;height:50.8pt;z-index:251938816;mso-position-horizontal-relative:text;mso-position-vertical-relative:text" filled="f" stroked="f">
            <v:textbox>
              <w:txbxContent>
                <w:p w:rsidR="005F4D13" w:rsidRPr="00233C16" w:rsidRDefault="005F4D13" w:rsidP="005F4D13">
                  <w:pPr>
                    <w:pStyle w:val="Default"/>
                    <w:jc w:val="right"/>
                    <w:rPr>
                      <w:b/>
                      <w:color w:val="auto"/>
                      <w:sz w:val="40"/>
                    </w:rPr>
                  </w:pPr>
                  <w:r w:rsidRPr="00233C16">
                    <w:rPr>
                      <w:b/>
                      <w:color w:val="auto"/>
                      <w:sz w:val="40"/>
                      <w:lang w:val="en-US"/>
                    </w:rPr>
                    <w:t>ISBN 978-</w:t>
                  </w:r>
                  <w:r w:rsidR="00FC0F56">
                    <w:rPr>
                      <w:b/>
                      <w:color w:val="auto"/>
                      <w:sz w:val="40"/>
                      <w:lang w:val="en-US"/>
                    </w:rPr>
                    <w:t>6</w:t>
                  </w:r>
                  <w:r w:rsidRPr="00233C16">
                    <w:rPr>
                      <w:b/>
                      <w:color w:val="auto"/>
                      <w:sz w:val="40"/>
                      <w:lang w:val="en-US"/>
                    </w:rPr>
                    <w:t>02-74135-3-5</w:t>
                  </w:r>
                </w:p>
              </w:txbxContent>
            </v:textbox>
          </v:rect>
        </w:pict>
      </w:r>
      <w:r w:rsidR="00725F8F" w:rsidRPr="00707471">
        <w:rPr>
          <w:sz w:val="34"/>
          <w:szCs w:val="34"/>
        </w:rPr>
        <w:t xml:space="preserve"> </w:t>
      </w:r>
    </w:p>
    <w:p w:rsidR="00F57CF8" w:rsidRPr="00707471" w:rsidRDefault="00F57CF8" w:rsidP="001F4E1F">
      <w:pPr>
        <w:spacing w:before="0" w:after="0"/>
        <w:ind w:left="0"/>
        <w:jc w:val="center"/>
        <w:rPr>
          <w:sz w:val="34"/>
          <w:szCs w:val="34"/>
        </w:rPr>
      </w:pPr>
      <w:r w:rsidRPr="00707471">
        <w:rPr>
          <w:sz w:val="34"/>
          <w:szCs w:val="34"/>
        </w:rPr>
        <w:t>Preface</w:t>
      </w:r>
    </w:p>
    <w:p w:rsidR="00061DF0" w:rsidRPr="00707471" w:rsidRDefault="00061DF0" w:rsidP="001F4E1F">
      <w:pPr>
        <w:spacing w:before="0" w:after="0"/>
        <w:ind w:left="0"/>
        <w:jc w:val="center"/>
        <w:rPr>
          <w:sz w:val="20"/>
          <w:szCs w:val="34"/>
        </w:rPr>
      </w:pPr>
    </w:p>
    <w:p w:rsidR="00F57CF8" w:rsidRPr="00707471" w:rsidRDefault="00F57CF8" w:rsidP="001F4E1F">
      <w:pPr>
        <w:spacing w:before="0" w:after="0"/>
        <w:ind w:left="0"/>
        <w:rPr>
          <w:sz w:val="20"/>
          <w:szCs w:val="20"/>
        </w:rPr>
      </w:pPr>
      <w:r w:rsidRPr="00707471">
        <w:rPr>
          <w:sz w:val="20"/>
          <w:szCs w:val="20"/>
        </w:rPr>
        <w:t>Praise and gratitude always we pray to the Lord of Universe, GOD Almighty (ALLAH SWT), who always gives a mercy and blessing for mankind. Thus, we can attend the international conference in healthy and halcyon conditions without any obstacles.</w:t>
      </w:r>
    </w:p>
    <w:p w:rsidR="00F57CF8" w:rsidRPr="00707471" w:rsidRDefault="00F57CF8" w:rsidP="001F4E1F">
      <w:pPr>
        <w:spacing w:before="0" w:after="0"/>
        <w:ind w:left="0"/>
        <w:rPr>
          <w:sz w:val="20"/>
          <w:szCs w:val="20"/>
        </w:rPr>
      </w:pPr>
      <w:r w:rsidRPr="00707471">
        <w:rPr>
          <w:sz w:val="20"/>
          <w:szCs w:val="20"/>
        </w:rPr>
        <w:t xml:space="preserve">First of all, on behalf of Rector of Muhammadiyah University of Metro warmly welcomes for the presence of keynote speakers and the participants of international conference in various colleges, either domestic or overseas. Especially for a chairman of Indonesian’s People Consultative Assembly or MPR-RI, Mr.Zulkifli Hasan; and a chairman of Higher Education Assembly of the Central Board of Muhammadiyah, Prof.Lincolyn Arsyad.  </w:t>
      </w:r>
    </w:p>
    <w:p w:rsidR="00F57CF8" w:rsidRPr="00707471" w:rsidRDefault="00F57CF8" w:rsidP="001F4E1F">
      <w:pPr>
        <w:spacing w:before="0" w:after="0"/>
        <w:ind w:left="0"/>
        <w:rPr>
          <w:sz w:val="20"/>
          <w:szCs w:val="20"/>
        </w:rPr>
      </w:pPr>
      <w:r w:rsidRPr="00707471">
        <w:rPr>
          <w:sz w:val="20"/>
          <w:szCs w:val="20"/>
        </w:rPr>
        <w:t xml:space="preserve">Secondly, we do apologize if in providing services to the keynote speakers and the participants of the international conference </w:t>
      </w:r>
      <w:r w:rsidRPr="00707471">
        <w:rPr>
          <w:rStyle w:val="alt-edited"/>
          <w:sz w:val="20"/>
          <w:szCs w:val="20"/>
        </w:rPr>
        <w:t>are below of your expectations</w:t>
      </w:r>
      <w:r w:rsidRPr="00707471">
        <w:rPr>
          <w:sz w:val="20"/>
          <w:szCs w:val="20"/>
        </w:rPr>
        <w:t>, all of those are caused by our capability limitation.</w:t>
      </w:r>
    </w:p>
    <w:p w:rsidR="00F57CF8" w:rsidRPr="00707471" w:rsidRDefault="00F57CF8" w:rsidP="001F4E1F">
      <w:pPr>
        <w:spacing w:before="0" w:after="0"/>
        <w:ind w:left="0"/>
        <w:rPr>
          <w:sz w:val="20"/>
          <w:szCs w:val="20"/>
        </w:rPr>
      </w:pPr>
      <w:r w:rsidRPr="00707471">
        <w:rPr>
          <w:sz w:val="20"/>
          <w:szCs w:val="20"/>
        </w:rPr>
        <w:t>Thirdly, through this international conference, intended as a reflection of our commitment consistently improve the quality of education and accommodate more opportunities in academic collaboration.</w:t>
      </w:r>
    </w:p>
    <w:p w:rsidR="00F57CF8" w:rsidRPr="00707471" w:rsidRDefault="00F57CF8" w:rsidP="001F4E1F">
      <w:pPr>
        <w:spacing w:before="0" w:after="0"/>
        <w:ind w:left="0"/>
        <w:rPr>
          <w:sz w:val="20"/>
          <w:szCs w:val="20"/>
        </w:rPr>
      </w:pPr>
      <w:r w:rsidRPr="00707471">
        <w:rPr>
          <w:sz w:val="20"/>
          <w:szCs w:val="20"/>
        </w:rPr>
        <w:t>Therefore, I believe that this international conference will be able to present an interesting discussion on the topics, by prominent speakers from Malaysia, Indonesia, Brunei and Thailand, which contribute to the development of knowledge and hopefully will encourage more research on this region.</w:t>
      </w:r>
    </w:p>
    <w:p w:rsidR="00F57CF8" w:rsidRPr="00707471" w:rsidRDefault="00F57CF8" w:rsidP="001F4E1F">
      <w:pPr>
        <w:spacing w:before="0" w:after="0"/>
        <w:ind w:left="0"/>
        <w:rPr>
          <w:sz w:val="20"/>
          <w:szCs w:val="20"/>
        </w:rPr>
      </w:pPr>
      <w:r w:rsidRPr="00707471">
        <w:rPr>
          <w:sz w:val="20"/>
          <w:szCs w:val="20"/>
        </w:rPr>
        <w:t xml:space="preserve">In </w:t>
      </w:r>
      <w:r w:rsidRPr="00707471">
        <w:rPr>
          <w:rStyle w:val="alt-edited"/>
          <w:sz w:val="20"/>
          <w:szCs w:val="20"/>
        </w:rPr>
        <w:t>this beautiful</w:t>
      </w:r>
      <w:r w:rsidRPr="00707471">
        <w:rPr>
          <w:sz w:val="20"/>
          <w:szCs w:val="20"/>
        </w:rPr>
        <w:t xml:space="preserve"> </w:t>
      </w:r>
      <w:r w:rsidRPr="00707471">
        <w:rPr>
          <w:rStyle w:val="alt-edited"/>
          <w:sz w:val="20"/>
          <w:szCs w:val="20"/>
        </w:rPr>
        <w:t>occasion</w:t>
      </w:r>
      <w:r w:rsidRPr="00707471">
        <w:rPr>
          <w:sz w:val="20"/>
          <w:szCs w:val="20"/>
        </w:rPr>
        <w:t xml:space="preserve">, I would like to congratulate to the organizers of international conference who have organized this event, hence, the event can be held most efficiently. Perhaps, it will support Muhammadiyah University of Metro to actualize its mission to become one of </w:t>
      </w:r>
      <w:r w:rsidRPr="00707471">
        <w:rPr>
          <w:i/>
          <w:sz w:val="20"/>
          <w:szCs w:val="20"/>
        </w:rPr>
        <w:t>international standard universities</w:t>
      </w:r>
      <w:r w:rsidRPr="00707471">
        <w:rPr>
          <w:sz w:val="20"/>
          <w:szCs w:val="20"/>
        </w:rPr>
        <w:t xml:space="preserve"> in the near future.</w:t>
      </w:r>
    </w:p>
    <w:p w:rsidR="00F57CF8" w:rsidRPr="00707471" w:rsidRDefault="00F57CF8" w:rsidP="001F4E1F">
      <w:pPr>
        <w:spacing w:before="0" w:after="0"/>
        <w:ind w:left="0"/>
        <w:rPr>
          <w:sz w:val="20"/>
          <w:szCs w:val="20"/>
        </w:rPr>
      </w:pPr>
      <w:r w:rsidRPr="00707471">
        <w:rPr>
          <w:sz w:val="20"/>
          <w:szCs w:val="20"/>
        </w:rPr>
        <w:t>Finally, once again I would like to say, welcome to all the distinguished guests and participants of the international conference.</w:t>
      </w:r>
    </w:p>
    <w:p w:rsidR="00F57CF8" w:rsidRPr="00707471" w:rsidRDefault="00F57CF8" w:rsidP="001F4E1F">
      <w:pPr>
        <w:spacing w:before="0" w:after="0"/>
        <w:ind w:left="0"/>
        <w:rPr>
          <w:sz w:val="20"/>
          <w:szCs w:val="20"/>
        </w:rPr>
      </w:pPr>
      <w:r w:rsidRPr="00707471">
        <w:rPr>
          <w:sz w:val="20"/>
          <w:szCs w:val="20"/>
        </w:rPr>
        <w:t xml:space="preserve">Muhammadiyah University of Metro will give the best to help you recognize this Lampung </w:t>
      </w:r>
      <w:r w:rsidRPr="00707471">
        <w:rPr>
          <w:rStyle w:val="alt-edited"/>
          <w:sz w:val="20"/>
          <w:szCs w:val="20"/>
        </w:rPr>
        <w:t>land</w:t>
      </w:r>
      <w:r w:rsidRPr="00707471">
        <w:rPr>
          <w:sz w:val="20"/>
          <w:szCs w:val="20"/>
        </w:rPr>
        <w:t>. Please enjoy our hospitality and have a pleasant experience in the international conference. Thank you.</w:t>
      </w:r>
    </w:p>
    <w:p w:rsidR="00A1340E" w:rsidRPr="00707471" w:rsidRDefault="00A1340E" w:rsidP="001F4E1F">
      <w:pPr>
        <w:spacing w:before="0" w:after="0"/>
        <w:ind w:left="0"/>
        <w:rPr>
          <w:sz w:val="20"/>
          <w:szCs w:val="20"/>
        </w:rPr>
      </w:pPr>
    </w:p>
    <w:p w:rsidR="00F57CF8" w:rsidRPr="00707471" w:rsidRDefault="00F57CF8" w:rsidP="001F4E1F">
      <w:pPr>
        <w:spacing w:before="0" w:after="0"/>
        <w:ind w:left="0"/>
        <w:rPr>
          <w:sz w:val="20"/>
          <w:szCs w:val="20"/>
        </w:rPr>
      </w:pPr>
      <w:r w:rsidRPr="00707471">
        <w:rPr>
          <w:sz w:val="20"/>
          <w:szCs w:val="20"/>
        </w:rPr>
        <w:t xml:space="preserve">Metro, </w:t>
      </w:r>
      <w:r w:rsidR="00A1340E" w:rsidRPr="00707471">
        <w:rPr>
          <w:sz w:val="20"/>
          <w:szCs w:val="20"/>
        </w:rPr>
        <w:t>November</w:t>
      </w:r>
      <w:r w:rsidRPr="00707471">
        <w:rPr>
          <w:sz w:val="20"/>
          <w:szCs w:val="20"/>
        </w:rPr>
        <w:t xml:space="preserve"> 7</w:t>
      </w:r>
      <w:r w:rsidRPr="00707471">
        <w:rPr>
          <w:sz w:val="20"/>
          <w:szCs w:val="20"/>
          <w:vertAlign w:val="superscript"/>
        </w:rPr>
        <w:t>th</w:t>
      </w:r>
      <w:r w:rsidRPr="00707471">
        <w:rPr>
          <w:sz w:val="20"/>
          <w:szCs w:val="20"/>
        </w:rPr>
        <w:t>, 2016</w:t>
      </w:r>
    </w:p>
    <w:p w:rsidR="00A1340E" w:rsidRPr="00707471" w:rsidRDefault="00B90CE5" w:rsidP="001F4E1F">
      <w:pPr>
        <w:spacing w:before="0" w:after="0"/>
        <w:ind w:left="0"/>
        <w:rPr>
          <w:sz w:val="20"/>
          <w:szCs w:val="20"/>
        </w:rPr>
      </w:pPr>
      <w:r>
        <w:rPr>
          <w:noProof/>
          <w:sz w:val="20"/>
          <w:szCs w:val="20"/>
        </w:rPr>
        <w:drawing>
          <wp:anchor distT="0" distB="0" distL="114300" distR="114300" simplePos="0" relativeHeight="251930624" behindDoc="1" locked="0" layoutInCell="1" allowOverlap="1">
            <wp:simplePos x="0" y="0"/>
            <wp:positionH relativeFrom="column">
              <wp:posOffset>2117</wp:posOffset>
            </wp:positionH>
            <wp:positionV relativeFrom="paragraph">
              <wp:posOffset>85302</wp:posOffset>
            </wp:positionV>
            <wp:extent cx="1742016" cy="1168400"/>
            <wp:effectExtent l="19050" t="0" r="0" b="0"/>
            <wp:wrapNone/>
            <wp:docPr id="23" name="Picture 22" descr="TTd Rek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Rektor.jpg"/>
                    <pic:cNvPicPr/>
                  </pic:nvPicPr>
                  <pic:blipFill>
                    <a:blip r:embed="rId11"/>
                    <a:stretch>
                      <a:fillRect/>
                    </a:stretch>
                  </pic:blipFill>
                  <pic:spPr>
                    <a:xfrm>
                      <a:off x="0" y="0"/>
                      <a:ext cx="1742016" cy="1168400"/>
                    </a:xfrm>
                    <a:prstGeom prst="rect">
                      <a:avLst/>
                    </a:prstGeom>
                  </pic:spPr>
                </pic:pic>
              </a:graphicData>
            </a:graphic>
          </wp:anchor>
        </w:drawing>
      </w:r>
    </w:p>
    <w:p w:rsidR="00A1340E" w:rsidRPr="00707471" w:rsidRDefault="00A1340E" w:rsidP="001F4E1F">
      <w:pPr>
        <w:spacing w:before="0" w:after="0"/>
        <w:ind w:left="0"/>
        <w:rPr>
          <w:sz w:val="20"/>
          <w:szCs w:val="20"/>
        </w:rPr>
      </w:pPr>
    </w:p>
    <w:p w:rsidR="005B13D4" w:rsidRPr="00707471" w:rsidRDefault="005B13D4" w:rsidP="001F4E1F">
      <w:pPr>
        <w:spacing w:before="0" w:after="0"/>
        <w:ind w:left="0"/>
        <w:rPr>
          <w:sz w:val="20"/>
          <w:szCs w:val="20"/>
        </w:rPr>
      </w:pPr>
    </w:p>
    <w:p w:rsidR="00F57CF8" w:rsidRPr="00707471" w:rsidRDefault="00F57CF8" w:rsidP="001F4E1F">
      <w:pPr>
        <w:spacing w:before="0" w:after="0"/>
        <w:ind w:left="0"/>
        <w:rPr>
          <w:sz w:val="20"/>
          <w:szCs w:val="20"/>
        </w:rPr>
      </w:pPr>
    </w:p>
    <w:p w:rsidR="00F57CF8" w:rsidRPr="00707471" w:rsidRDefault="00F57CF8" w:rsidP="001F4E1F">
      <w:pPr>
        <w:spacing w:before="0" w:after="0"/>
        <w:ind w:left="0"/>
        <w:rPr>
          <w:b/>
          <w:sz w:val="20"/>
          <w:szCs w:val="20"/>
          <w:u w:val="single"/>
        </w:rPr>
      </w:pPr>
      <w:r w:rsidRPr="00707471">
        <w:rPr>
          <w:b/>
          <w:sz w:val="20"/>
          <w:szCs w:val="20"/>
          <w:u w:val="single"/>
        </w:rPr>
        <w:t>Prof.Dr.H.Karwono,M.Pd.</w:t>
      </w:r>
    </w:p>
    <w:p w:rsidR="00F57CF8" w:rsidRPr="00707471" w:rsidRDefault="00F57CF8" w:rsidP="001F4E1F">
      <w:pPr>
        <w:spacing w:before="0" w:after="0"/>
        <w:ind w:left="0"/>
        <w:rPr>
          <w:rFonts w:eastAsiaTheme="majorEastAsia"/>
          <w:bCs/>
          <w:i/>
          <w:kern w:val="0"/>
          <w:sz w:val="20"/>
          <w:szCs w:val="20"/>
        </w:rPr>
      </w:pPr>
      <w:r w:rsidRPr="00707471">
        <w:rPr>
          <w:i/>
          <w:sz w:val="20"/>
          <w:szCs w:val="20"/>
        </w:rPr>
        <w:t>Rector of Muhammadiyah University of Metro</w:t>
      </w:r>
      <w:r w:rsidRPr="00707471">
        <w:rPr>
          <w:i/>
          <w:sz w:val="20"/>
          <w:szCs w:val="20"/>
        </w:rPr>
        <w:br w:type="page"/>
      </w:r>
    </w:p>
    <w:tbl>
      <w:tblPr>
        <w:tblW w:w="0" w:type="auto"/>
        <w:tblLook w:val="04A0"/>
      </w:tblPr>
      <w:tblGrid>
        <w:gridCol w:w="1242"/>
        <w:gridCol w:w="1134"/>
        <w:gridCol w:w="2352"/>
        <w:gridCol w:w="4514"/>
      </w:tblGrid>
      <w:tr w:rsidR="005B13D4" w:rsidRPr="00707471" w:rsidTr="00222005">
        <w:tc>
          <w:tcPr>
            <w:tcW w:w="1242" w:type="dxa"/>
            <w:vAlign w:val="center"/>
          </w:tcPr>
          <w:p w:rsidR="005B13D4" w:rsidRPr="00707471" w:rsidRDefault="005B13D4" w:rsidP="001F4E1F">
            <w:pPr>
              <w:pStyle w:val="Default"/>
              <w:ind w:left="142" w:right="-69"/>
              <w:rPr>
                <w:color w:val="auto"/>
                <w:lang w:val="en-US"/>
              </w:rPr>
            </w:pPr>
            <w:r w:rsidRPr="00707471">
              <w:rPr>
                <w:noProof/>
                <w:color w:val="auto"/>
                <w:lang w:val="en-US"/>
              </w:rPr>
              <w:lastRenderedPageBreak/>
              <w:drawing>
                <wp:inline distT="0" distB="0" distL="0" distR="0">
                  <wp:extent cx="552450" cy="571500"/>
                  <wp:effectExtent l="19050" t="0" r="0" b="0"/>
                  <wp:docPr id="3"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9" cstate="print">
                            <a:clrChange>
                              <a:clrFrom>
                                <a:srgbClr val="FFFFFF"/>
                              </a:clrFrom>
                              <a:clrTo>
                                <a:srgbClr val="FFFFFF">
                                  <a:alpha val="0"/>
                                </a:srgbClr>
                              </a:clrTo>
                            </a:clrChange>
                          </a:blip>
                          <a:srcRect l="6290"/>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1134" w:type="dxa"/>
            <w:vAlign w:val="center"/>
          </w:tcPr>
          <w:p w:rsidR="005B13D4" w:rsidRPr="00707471" w:rsidRDefault="005B13D4" w:rsidP="001F4E1F">
            <w:pPr>
              <w:pStyle w:val="Default"/>
              <w:ind w:left="-147" w:right="33"/>
              <w:jc w:val="right"/>
              <w:rPr>
                <w:b/>
                <w:color w:val="auto"/>
                <w:lang w:val="en-US"/>
              </w:rPr>
            </w:pPr>
            <w:r w:rsidRPr="00707471">
              <w:rPr>
                <w:noProof/>
                <w:color w:val="auto"/>
                <w:kern w:val="36"/>
                <w:sz w:val="28"/>
                <w:szCs w:val="28"/>
                <w:lang w:val="en-US"/>
              </w:rPr>
              <w:drawing>
                <wp:inline distT="0" distB="0" distL="0" distR="0">
                  <wp:extent cx="504825" cy="504825"/>
                  <wp:effectExtent l="19050" t="0" r="9525" b="0"/>
                  <wp:docPr id="4" name="Picture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jpg"/>
                          <pic:cNvPicPr>
                            <a:picLocks noChangeAspect="1" noChangeArrowheads="1"/>
                          </pic:cNvPicPr>
                        </pic:nvPicPr>
                        <pic:blipFill>
                          <a:blip r:embed="rId10"/>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2352" w:type="dxa"/>
          </w:tcPr>
          <w:p w:rsidR="005B13D4" w:rsidRPr="00707471" w:rsidRDefault="005B13D4" w:rsidP="001F4E1F">
            <w:pPr>
              <w:pStyle w:val="Default"/>
              <w:ind w:left="-93" w:right="-141"/>
              <w:rPr>
                <w:b/>
                <w:color w:val="auto"/>
                <w:lang w:val="en-US"/>
              </w:rPr>
            </w:pPr>
          </w:p>
        </w:tc>
        <w:tc>
          <w:tcPr>
            <w:tcW w:w="4514" w:type="dxa"/>
          </w:tcPr>
          <w:p w:rsidR="005B13D4" w:rsidRPr="00707471" w:rsidRDefault="005B13D4" w:rsidP="001F4E1F">
            <w:pPr>
              <w:pStyle w:val="Default"/>
              <w:rPr>
                <w:color w:val="auto"/>
                <w:sz w:val="14"/>
                <w:lang w:val="en-US"/>
              </w:rPr>
            </w:pPr>
          </w:p>
          <w:tbl>
            <w:tblPr>
              <w:tblW w:w="2930" w:type="dxa"/>
              <w:tblInd w:w="1368" w:type="dxa"/>
              <w:tblBorders>
                <w:top w:val="single" w:sz="4" w:space="0" w:color="auto"/>
                <w:bottom w:val="single" w:sz="4" w:space="0" w:color="auto"/>
              </w:tblBorders>
              <w:tblLook w:val="04A0"/>
            </w:tblPr>
            <w:tblGrid>
              <w:gridCol w:w="2930"/>
            </w:tblGrid>
            <w:tr w:rsidR="005B13D4" w:rsidRPr="00707471" w:rsidTr="00222005">
              <w:tc>
                <w:tcPr>
                  <w:tcW w:w="2930" w:type="dxa"/>
                  <w:tcBorders>
                    <w:top w:val="thickThinSmallGap" w:sz="24" w:space="0" w:color="auto"/>
                    <w:bottom w:val="thinThickSmallGap" w:sz="24" w:space="0" w:color="auto"/>
                  </w:tcBorders>
                </w:tcPr>
                <w:p w:rsidR="005B13D4" w:rsidRPr="00707471" w:rsidRDefault="005B13D4" w:rsidP="001F4E1F">
                  <w:pPr>
                    <w:pStyle w:val="Default"/>
                    <w:rPr>
                      <w:color w:val="auto"/>
                      <w:sz w:val="4"/>
                      <w:szCs w:val="16"/>
                      <w:lang w:val="en-US"/>
                    </w:rPr>
                  </w:pPr>
                </w:p>
                <w:p w:rsidR="005B13D4" w:rsidRPr="00707471" w:rsidRDefault="00FC0F56" w:rsidP="001F4E1F">
                  <w:pPr>
                    <w:pStyle w:val="Default"/>
                    <w:jc w:val="center"/>
                    <w:rPr>
                      <w:color w:val="auto"/>
                      <w:lang w:val="en-US"/>
                    </w:rPr>
                  </w:pPr>
                  <w:r>
                    <w:rPr>
                      <w:color w:val="auto"/>
                      <w:lang w:val="en-US"/>
                    </w:rPr>
                    <w:t>ISBN 978-602-74135-3-5</w:t>
                  </w:r>
                </w:p>
                <w:p w:rsidR="005B13D4" w:rsidRPr="00707471" w:rsidRDefault="005B13D4" w:rsidP="001F4E1F">
                  <w:pPr>
                    <w:pStyle w:val="Default"/>
                    <w:rPr>
                      <w:color w:val="auto"/>
                      <w:sz w:val="4"/>
                      <w:szCs w:val="16"/>
                      <w:lang w:val="en-US"/>
                    </w:rPr>
                  </w:pPr>
                </w:p>
              </w:tc>
            </w:tr>
          </w:tbl>
          <w:p w:rsidR="005B13D4" w:rsidRPr="00707471" w:rsidRDefault="005B13D4" w:rsidP="001F4E1F">
            <w:pPr>
              <w:pStyle w:val="Default"/>
              <w:rPr>
                <w:color w:val="auto"/>
                <w:lang w:val="en-US"/>
              </w:rPr>
            </w:pPr>
          </w:p>
        </w:tc>
      </w:tr>
    </w:tbl>
    <w:p w:rsidR="00CC5BFF" w:rsidRDefault="00CC5BFF" w:rsidP="001F4E1F">
      <w:pPr>
        <w:pStyle w:val="TOCHeading"/>
        <w:spacing w:before="0" w:line="240" w:lineRule="auto"/>
        <w:jc w:val="center"/>
        <w:rPr>
          <w:rFonts w:ascii="Times New Roman" w:hAnsi="Times New Roman" w:cs="Times New Roman"/>
          <w:b w:val="0"/>
          <w:color w:val="auto"/>
          <w:sz w:val="34"/>
          <w:szCs w:val="34"/>
          <w:lang w:val="id-ID"/>
        </w:rPr>
      </w:pPr>
      <w:r w:rsidRPr="00707471">
        <w:rPr>
          <w:rFonts w:ascii="Times New Roman" w:hAnsi="Times New Roman" w:cs="Times New Roman"/>
          <w:b w:val="0"/>
          <w:color w:val="auto"/>
          <w:sz w:val="34"/>
          <w:szCs w:val="34"/>
        </w:rPr>
        <w:t>International Advisory Board</w:t>
      </w:r>
    </w:p>
    <w:p w:rsidR="008F26B6" w:rsidRPr="008F26B6" w:rsidRDefault="008F26B6" w:rsidP="001F4E1F">
      <w:pPr>
        <w:spacing w:before="0" w:after="0"/>
        <w:rPr>
          <w:lang w:val="id-ID"/>
        </w:rPr>
      </w:pPr>
    </w:p>
    <w:p w:rsidR="008F26B6" w:rsidRPr="005F4D13" w:rsidRDefault="008F26B6" w:rsidP="0098511B">
      <w:pPr>
        <w:pStyle w:val="ListParagraph"/>
        <w:numPr>
          <w:ilvl w:val="0"/>
          <w:numId w:val="4"/>
        </w:numPr>
        <w:spacing w:before="0" w:after="0"/>
        <w:ind w:left="284" w:hanging="284"/>
        <w:rPr>
          <w:sz w:val="20"/>
          <w:lang w:val="id-ID"/>
        </w:rPr>
      </w:pPr>
      <w:r w:rsidRPr="00A73665">
        <w:rPr>
          <w:rFonts w:eastAsia="Times New Roman"/>
          <w:sz w:val="20"/>
          <w:lang w:eastAsia="id-ID"/>
        </w:rPr>
        <w:t>Prof</w:t>
      </w:r>
      <w:r w:rsidRPr="00A73665">
        <w:rPr>
          <w:rFonts w:eastAsia="Times New Roman"/>
          <w:sz w:val="20"/>
          <w:lang w:val="id-ID" w:eastAsia="id-ID"/>
        </w:rPr>
        <w:t>.</w:t>
      </w:r>
      <w:r w:rsidRPr="00A73665">
        <w:rPr>
          <w:rFonts w:eastAsia="Times New Roman"/>
          <w:sz w:val="20"/>
          <w:lang w:eastAsia="id-ID"/>
        </w:rPr>
        <w:t xml:space="preserve"> Dato' Dr. Ab. Halim bin Tamuri</w:t>
      </w:r>
      <w:r w:rsidRPr="00A73665">
        <w:rPr>
          <w:rFonts w:eastAsia="Times New Roman"/>
          <w:sz w:val="20"/>
          <w:lang w:val="id-ID" w:eastAsia="id-ID"/>
        </w:rPr>
        <w:t>,</w:t>
      </w:r>
      <w:r w:rsidRPr="00A73665">
        <w:rPr>
          <w:sz w:val="20"/>
          <w:lang w:val="id-ID"/>
        </w:rPr>
        <w:t xml:space="preserve"> National University of Malaysia, Malaysia</w:t>
      </w:r>
      <w:r w:rsidR="005F4D13">
        <w:rPr>
          <w:sz w:val="20"/>
        </w:rPr>
        <w:t xml:space="preserve"> </w:t>
      </w:r>
    </w:p>
    <w:p w:rsidR="008B4416" w:rsidRPr="003D55F6" w:rsidRDefault="008B4416" w:rsidP="008B4416">
      <w:pPr>
        <w:pStyle w:val="FootnoteText"/>
        <w:ind w:left="284"/>
        <w:rPr>
          <w:rFonts w:ascii="Times New Roman" w:hAnsi="Times New Roman" w:cs="Times New Roman"/>
          <w:sz w:val="18"/>
          <w:szCs w:val="18"/>
        </w:rPr>
      </w:pPr>
      <w:r w:rsidRPr="003D55F6">
        <w:rPr>
          <w:rFonts w:ascii="Times New Roman" w:hAnsi="Times New Roman" w:cs="Times New Roman"/>
          <w:sz w:val="18"/>
          <w:szCs w:val="18"/>
        </w:rPr>
        <w:t xml:space="preserve">Corresponding. </w:t>
      </w:r>
      <w:r w:rsidRPr="003D55F6">
        <w:rPr>
          <w:rFonts w:ascii="Times New Roman" w:hAnsi="Times New Roman" w:cs="Times New Roman"/>
          <w:i/>
          <w:sz w:val="18"/>
          <w:szCs w:val="18"/>
        </w:rPr>
        <w:t>E-Mail Address</w:t>
      </w:r>
      <w:r w:rsidRPr="003D55F6">
        <w:rPr>
          <w:rFonts w:ascii="Times New Roman" w:hAnsi="Times New Roman" w:cs="Times New Roman"/>
          <w:sz w:val="18"/>
          <w:szCs w:val="18"/>
        </w:rPr>
        <w:t>:</w:t>
      </w:r>
      <w:r w:rsidRPr="003D55F6">
        <w:rPr>
          <w:rFonts w:ascii="Times New Roman" w:hAnsi="Times New Roman" w:cs="Times New Roman"/>
          <w:sz w:val="18"/>
          <w:szCs w:val="18"/>
          <w:vertAlign w:val="superscript"/>
        </w:rPr>
        <w:t xml:space="preserve"> </w:t>
      </w:r>
      <w:r w:rsidRPr="003D55F6">
        <w:rPr>
          <w:rFonts w:ascii="Times New Roman" w:hAnsi="Times New Roman" w:cs="Times New Roman"/>
          <w:sz w:val="18"/>
          <w:szCs w:val="18"/>
          <w:lang w:val="en-GB"/>
        </w:rPr>
        <w:t>tamuri@kuis.edu.my</w:t>
      </w:r>
    </w:p>
    <w:p w:rsidR="008F26B6" w:rsidRPr="008B4416" w:rsidRDefault="008F26B6" w:rsidP="0098511B">
      <w:pPr>
        <w:pStyle w:val="ListParagraph"/>
        <w:numPr>
          <w:ilvl w:val="0"/>
          <w:numId w:val="4"/>
        </w:numPr>
        <w:spacing w:before="0" w:after="0"/>
        <w:ind w:left="284" w:hanging="284"/>
        <w:rPr>
          <w:rStyle w:val="heading1b"/>
          <w:sz w:val="20"/>
          <w:szCs w:val="20"/>
          <w:lang w:val="id-ID"/>
        </w:rPr>
      </w:pPr>
      <w:r w:rsidRPr="008B4416">
        <w:rPr>
          <w:rFonts w:eastAsia="Times New Roman"/>
          <w:sz w:val="20"/>
          <w:szCs w:val="20"/>
          <w:lang w:eastAsia="id-ID"/>
        </w:rPr>
        <w:t>Assoc</w:t>
      </w:r>
      <w:r w:rsidRPr="008B4416">
        <w:rPr>
          <w:rStyle w:val="heading10"/>
          <w:sz w:val="20"/>
          <w:szCs w:val="20"/>
          <w:lang w:val="id-ID"/>
        </w:rPr>
        <w:t>.Prof.</w:t>
      </w:r>
      <w:r w:rsidRPr="008B4416">
        <w:rPr>
          <w:rStyle w:val="heading10"/>
          <w:sz w:val="20"/>
          <w:szCs w:val="20"/>
        </w:rPr>
        <w:t>Dr</w:t>
      </w:r>
      <w:r w:rsidRPr="008B4416">
        <w:rPr>
          <w:rStyle w:val="heading10"/>
          <w:sz w:val="20"/>
          <w:szCs w:val="20"/>
          <w:lang w:val="id-ID"/>
        </w:rPr>
        <w:t>.</w:t>
      </w:r>
      <w:r w:rsidRPr="008B4416">
        <w:rPr>
          <w:rStyle w:val="heading10"/>
          <w:sz w:val="20"/>
          <w:szCs w:val="20"/>
        </w:rPr>
        <w:t xml:space="preserve"> Iccha Basnyat</w:t>
      </w:r>
      <w:r w:rsidRPr="008B4416">
        <w:rPr>
          <w:sz w:val="20"/>
          <w:szCs w:val="20"/>
          <w:lang w:val="id-ID"/>
        </w:rPr>
        <w:t xml:space="preserve">, </w:t>
      </w:r>
      <w:r w:rsidRPr="008B4416">
        <w:rPr>
          <w:rStyle w:val="heading1b"/>
          <w:sz w:val="20"/>
          <w:szCs w:val="20"/>
        </w:rPr>
        <w:t>National University of Singapore</w:t>
      </w:r>
      <w:r w:rsidRPr="008B4416">
        <w:rPr>
          <w:rStyle w:val="heading1b"/>
          <w:sz w:val="20"/>
          <w:szCs w:val="20"/>
          <w:lang w:val="id-ID"/>
        </w:rPr>
        <w:t>, Singapore</w:t>
      </w:r>
    </w:p>
    <w:p w:rsidR="008F26B6" w:rsidRPr="00B27D78" w:rsidRDefault="008F26B6" w:rsidP="0098511B">
      <w:pPr>
        <w:pStyle w:val="ListParagraph"/>
        <w:numPr>
          <w:ilvl w:val="0"/>
          <w:numId w:val="4"/>
        </w:numPr>
        <w:spacing w:before="0" w:after="0"/>
        <w:ind w:left="284" w:hanging="284"/>
        <w:rPr>
          <w:sz w:val="20"/>
          <w:lang w:val="id-ID"/>
        </w:rPr>
      </w:pPr>
      <w:r w:rsidRPr="00B27D78">
        <w:rPr>
          <w:sz w:val="20"/>
          <w:lang w:val="id-ID"/>
        </w:rPr>
        <w:t xml:space="preserve">Prof Nehaluddin Ahmad, Ph.D., </w:t>
      </w:r>
      <w:r w:rsidRPr="00B27D78">
        <w:rPr>
          <w:sz w:val="20"/>
        </w:rPr>
        <w:t>Sultan Sharif Ali Islamic University, Brunei Darussalam</w:t>
      </w:r>
    </w:p>
    <w:p w:rsidR="008B4416" w:rsidRPr="008B4416" w:rsidRDefault="008B4416" w:rsidP="008B4416">
      <w:pPr>
        <w:pStyle w:val="ListParagraph"/>
        <w:spacing w:before="0" w:after="0"/>
        <w:ind w:left="284"/>
        <w:rPr>
          <w:sz w:val="20"/>
          <w:lang w:val="id-ID"/>
        </w:rPr>
      </w:pPr>
      <w:r w:rsidRPr="003D55F6">
        <w:rPr>
          <w:sz w:val="18"/>
          <w:szCs w:val="18"/>
          <w:lang w:val="id-ID"/>
        </w:rPr>
        <w:t xml:space="preserve">Corresponding. Phone Number:+6737168603, </w:t>
      </w:r>
      <w:r w:rsidRPr="003D55F6">
        <w:rPr>
          <w:i/>
          <w:sz w:val="18"/>
          <w:szCs w:val="18"/>
          <w:lang w:val="id-ID"/>
        </w:rPr>
        <w:t>E-Mail Address</w:t>
      </w:r>
      <w:r w:rsidRPr="003D55F6">
        <w:rPr>
          <w:sz w:val="18"/>
          <w:szCs w:val="18"/>
          <w:lang w:val="id-ID"/>
        </w:rPr>
        <w:t>:</w:t>
      </w:r>
      <w:r w:rsidRPr="003D55F6">
        <w:rPr>
          <w:sz w:val="18"/>
          <w:szCs w:val="18"/>
        </w:rPr>
        <w:t xml:space="preserve"> ahmadnehal@yahoo.com</w:t>
      </w:r>
    </w:p>
    <w:p w:rsidR="008F26B6" w:rsidRPr="00B27D78" w:rsidRDefault="008F26B6" w:rsidP="0098511B">
      <w:pPr>
        <w:pStyle w:val="ListParagraph"/>
        <w:numPr>
          <w:ilvl w:val="0"/>
          <w:numId w:val="4"/>
        </w:numPr>
        <w:spacing w:before="0" w:after="0"/>
        <w:ind w:left="284" w:hanging="284"/>
        <w:rPr>
          <w:sz w:val="20"/>
          <w:lang w:val="id-ID"/>
        </w:rPr>
      </w:pPr>
      <w:r w:rsidRPr="00B27D78">
        <w:rPr>
          <w:sz w:val="20"/>
          <w:lang w:val="id-ID"/>
        </w:rPr>
        <w:t>Prof. Dr. Ismail Lutfi Japakiya, Fathoni University, Thailand</w:t>
      </w:r>
    </w:p>
    <w:p w:rsidR="008F26B6" w:rsidRDefault="008F26B6" w:rsidP="0098511B">
      <w:pPr>
        <w:pStyle w:val="ListParagraph"/>
        <w:numPr>
          <w:ilvl w:val="0"/>
          <w:numId w:val="4"/>
        </w:numPr>
        <w:spacing w:before="0" w:after="0"/>
        <w:ind w:left="284" w:hanging="284"/>
        <w:rPr>
          <w:sz w:val="20"/>
          <w:lang w:val="id-ID"/>
        </w:rPr>
      </w:pPr>
      <w:r w:rsidRPr="00B27D78">
        <w:rPr>
          <w:sz w:val="20"/>
          <w:lang w:val="id-ID"/>
        </w:rPr>
        <w:t>Akhmad Akbar Susamto,Ph.D., Gadjah Mada University, Indonesia</w:t>
      </w:r>
    </w:p>
    <w:p w:rsidR="00CC5BFF" w:rsidRPr="00707471" w:rsidRDefault="00CC5BFF" w:rsidP="001F4E1F">
      <w:pPr>
        <w:spacing w:before="0" w:after="0"/>
        <w:rPr>
          <w:rFonts w:eastAsiaTheme="majorEastAsia"/>
          <w:kern w:val="0"/>
        </w:rPr>
      </w:pPr>
      <w:r w:rsidRPr="00707471">
        <w:br w:type="page"/>
      </w:r>
    </w:p>
    <w:tbl>
      <w:tblPr>
        <w:tblW w:w="0" w:type="auto"/>
        <w:tblLook w:val="04A0"/>
      </w:tblPr>
      <w:tblGrid>
        <w:gridCol w:w="1242"/>
        <w:gridCol w:w="1134"/>
        <w:gridCol w:w="2352"/>
        <w:gridCol w:w="4514"/>
      </w:tblGrid>
      <w:tr w:rsidR="005B13D4" w:rsidRPr="00707471" w:rsidTr="00222005">
        <w:tc>
          <w:tcPr>
            <w:tcW w:w="1242" w:type="dxa"/>
            <w:vAlign w:val="center"/>
          </w:tcPr>
          <w:p w:rsidR="005B13D4" w:rsidRPr="00707471" w:rsidRDefault="005B13D4" w:rsidP="001F4E1F">
            <w:pPr>
              <w:pStyle w:val="Default"/>
              <w:ind w:left="142" w:right="-69"/>
              <w:rPr>
                <w:color w:val="auto"/>
                <w:lang w:val="en-US"/>
              </w:rPr>
            </w:pPr>
            <w:r w:rsidRPr="00707471">
              <w:rPr>
                <w:noProof/>
                <w:color w:val="auto"/>
                <w:lang w:val="en-US"/>
              </w:rPr>
              <w:lastRenderedPageBreak/>
              <w:drawing>
                <wp:inline distT="0" distB="0" distL="0" distR="0">
                  <wp:extent cx="552450" cy="571500"/>
                  <wp:effectExtent l="19050" t="0" r="0" b="0"/>
                  <wp:docPr id="1"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9" cstate="print">
                            <a:clrChange>
                              <a:clrFrom>
                                <a:srgbClr val="FFFFFF"/>
                              </a:clrFrom>
                              <a:clrTo>
                                <a:srgbClr val="FFFFFF">
                                  <a:alpha val="0"/>
                                </a:srgbClr>
                              </a:clrTo>
                            </a:clrChange>
                          </a:blip>
                          <a:srcRect l="6290"/>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1134" w:type="dxa"/>
            <w:vAlign w:val="center"/>
          </w:tcPr>
          <w:p w:rsidR="005B13D4" w:rsidRPr="00707471" w:rsidRDefault="005B13D4" w:rsidP="001F4E1F">
            <w:pPr>
              <w:pStyle w:val="Default"/>
              <w:ind w:left="-147" w:right="33"/>
              <w:jc w:val="right"/>
              <w:rPr>
                <w:b/>
                <w:color w:val="auto"/>
                <w:lang w:val="en-US"/>
              </w:rPr>
            </w:pPr>
            <w:r w:rsidRPr="00707471">
              <w:rPr>
                <w:noProof/>
                <w:color w:val="auto"/>
                <w:kern w:val="36"/>
                <w:sz w:val="28"/>
                <w:szCs w:val="28"/>
                <w:lang w:val="en-US"/>
              </w:rPr>
              <w:drawing>
                <wp:inline distT="0" distB="0" distL="0" distR="0">
                  <wp:extent cx="504825" cy="504825"/>
                  <wp:effectExtent l="19050" t="0" r="9525" b="0"/>
                  <wp:docPr id="2" name="Picture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jpg"/>
                          <pic:cNvPicPr>
                            <a:picLocks noChangeAspect="1" noChangeArrowheads="1"/>
                          </pic:cNvPicPr>
                        </pic:nvPicPr>
                        <pic:blipFill>
                          <a:blip r:embed="rId10"/>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2352" w:type="dxa"/>
          </w:tcPr>
          <w:p w:rsidR="005B13D4" w:rsidRPr="00707471" w:rsidRDefault="005B13D4" w:rsidP="001F4E1F">
            <w:pPr>
              <w:pStyle w:val="Default"/>
              <w:ind w:left="-93" w:right="-141"/>
              <w:rPr>
                <w:b/>
                <w:color w:val="auto"/>
                <w:lang w:val="en-US"/>
              </w:rPr>
            </w:pPr>
          </w:p>
        </w:tc>
        <w:tc>
          <w:tcPr>
            <w:tcW w:w="4514" w:type="dxa"/>
          </w:tcPr>
          <w:p w:rsidR="005B13D4" w:rsidRPr="00707471" w:rsidRDefault="005B13D4" w:rsidP="001F4E1F">
            <w:pPr>
              <w:pStyle w:val="Default"/>
              <w:rPr>
                <w:color w:val="auto"/>
                <w:sz w:val="14"/>
                <w:lang w:val="en-US"/>
              </w:rPr>
            </w:pPr>
          </w:p>
          <w:tbl>
            <w:tblPr>
              <w:tblW w:w="2930" w:type="dxa"/>
              <w:tblInd w:w="1368" w:type="dxa"/>
              <w:tblBorders>
                <w:top w:val="single" w:sz="4" w:space="0" w:color="auto"/>
                <w:bottom w:val="single" w:sz="4" w:space="0" w:color="auto"/>
              </w:tblBorders>
              <w:tblLook w:val="04A0"/>
            </w:tblPr>
            <w:tblGrid>
              <w:gridCol w:w="2930"/>
            </w:tblGrid>
            <w:tr w:rsidR="005B13D4" w:rsidRPr="00707471" w:rsidTr="00222005">
              <w:tc>
                <w:tcPr>
                  <w:tcW w:w="2930" w:type="dxa"/>
                  <w:tcBorders>
                    <w:top w:val="thickThinSmallGap" w:sz="24" w:space="0" w:color="auto"/>
                    <w:bottom w:val="thinThickSmallGap" w:sz="24" w:space="0" w:color="auto"/>
                  </w:tcBorders>
                </w:tcPr>
                <w:p w:rsidR="005B13D4" w:rsidRPr="00707471" w:rsidRDefault="005B13D4" w:rsidP="001F4E1F">
                  <w:pPr>
                    <w:pStyle w:val="Default"/>
                    <w:rPr>
                      <w:color w:val="auto"/>
                      <w:sz w:val="4"/>
                      <w:szCs w:val="16"/>
                      <w:lang w:val="en-US"/>
                    </w:rPr>
                  </w:pPr>
                </w:p>
                <w:p w:rsidR="005B13D4" w:rsidRPr="00707471" w:rsidRDefault="00FC0F56" w:rsidP="001F4E1F">
                  <w:pPr>
                    <w:pStyle w:val="Default"/>
                    <w:jc w:val="center"/>
                    <w:rPr>
                      <w:color w:val="auto"/>
                      <w:lang w:val="en-US"/>
                    </w:rPr>
                  </w:pPr>
                  <w:r>
                    <w:rPr>
                      <w:color w:val="auto"/>
                      <w:lang w:val="en-US"/>
                    </w:rPr>
                    <w:t>ISBN 978-602-74135-3-5</w:t>
                  </w:r>
                </w:p>
                <w:p w:rsidR="005B13D4" w:rsidRPr="00707471" w:rsidRDefault="005B13D4" w:rsidP="001F4E1F">
                  <w:pPr>
                    <w:pStyle w:val="Default"/>
                    <w:rPr>
                      <w:color w:val="auto"/>
                      <w:sz w:val="4"/>
                      <w:szCs w:val="16"/>
                      <w:lang w:val="en-US"/>
                    </w:rPr>
                  </w:pPr>
                </w:p>
              </w:tc>
            </w:tr>
          </w:tbl>
          <w:p w:rsidR="005B13D4" w:rsidRPr="00707471" w:rsidRDefault="005B13D4" w:rsidP="001F4E1F">
            <w:pPr>
              <w:pStyle w:val="Default"/>
              <w:rPr>
                <w:color w:val="auto"/>
                <w:lang w:val="en-US"/>
              </w:rPr>
            </w:pPr>
          </w:p>
        </w:tc>
      </w:tr>
    </w:tbl>
    <w:p w:rsidR="00CC5BFF" w:rsidRDefault="00CC5BFF" w:rsidP="001F4E1F">
      <w:pPr>
        <w:pStyle w:val="TOCHeading"/>
        <w:spacing w:before="0" w:line="240" w:lineRule="auto"/>
        <w:jc w:val="center"/>
        <w:rPr>
          <w:rFonts w:ascii="Times New Roman" w:hAnsi="Times New Roman" w:cs="Times New Roman"/>
          <w:b w:val="0"/>
          <w:color w:val="auto"/>
          <w:sz w:val="34"/>
          <w:szCs w:val="34"/>
        </w:rPr>
      </w:pPr>
      <w:r w:rsidRPr="00707471">
        <w:rPr>
          <w:rFonts w:ascii="Times New Roman" w:hAnsi="Times New Roman" w:cs="Times New Roman"/>
          <w:b w:val="0"/>
          <w:color w:val="auto"/>
          <w:sz w:val="34"/>
          <w:szCs w:val="34"/>
        </w:rPr>
        <w:t>Organizing Committee</w:t>
      </w:r>
    </w:p>
    <w:p w:rsidR="008F12C3" w:rsidRPr="008F12C3" w:rsidRDefault="008F12C3" w:rsidP="001F4E1F">
      <w:pPr>
        <w:spacing w:before="0" w:after="0"/>
        <w:rPr>
          <w:sz w:val="2"/>
        </w:r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544"/>
        <w:gridCol w:w="350"/>
        <w:gridCol w:w="6428"/>
      </w:tblGrid>
      <w:tr w:rsidR="008F12C3" w:rsidRPr="009751FA" w:rsidTr="00532B57">
        <w:tc>
          <w:tcPr>
            <w:tcW w:w="2544" w:type="dxa"/>
            <w:shd w:val="clear" w:color="auto" w:fill="000000" w:themeFill="text1"/>
          </w:tcPr>
          <w:p w:rsidR="008F12C3" w:rsidRPr="009751FA" w:rsidRDefault="008F12C3" w:rsidP="001F4E1F">
            <w:pPr>
              <w:spacing w:before="0" w:after="0"/>
              <w:ind w:left="0"/>
              <w:contextualSpacing/>
              <w:rPr>
                <w:color w:val="FFFFFF" w:themeColor="background1"/>
                <w:sz w:val="20"/>
                <w:szCs w:val="22"/>
                <w:lang w:val="id-ID"/>
              </w:rPr>
            </w:pPr>
            <w:r w:rsidRPr="009751FA">
              <w:rPr>
                <w:color w:val="FFFFFF" w:themeColor="background1"/>
                <w:sz w:val="20"/>
                <w:szCs w:val="22"/>
                <w:lang w:val="id-ID"/>
              </w:rPr>
              <w:t>Streering Committee</w:t>
            </w:r>
          </w:p>
        </w:tc>
        <w:tc>
          <w:tcPr>
            <w:tcW w:w="350" w:type="dxa"/>
            <w:shd w:val="clear" w:color="auto" w:fill="000000" w:themeFill="text1"/>
          </w:tcPr>
          <w:p w:rsidR="008F12C3" w:rsidRPr="009751FA" w:rsidRDefault="008F12C3" w:rsidP="001F4E1F">
            <w:pPr>
              <w:spacing w:before="0" w:after="0"/>
              <w:contextualSpacing/>
              <w:rPr>
                <w:b w:val="0"/>
                <w:color w:val="FFFFFF" w:themeColor="background1"/>
                <w:sz w:val="20"/>
                <w:szCs w:val="22"/>
              </w:rPr>
            </w:pPr>
          </w:p>
        </w:tc>
        <w:tc>
          <w:tcPr>
            <w:tcW w:w="6428" w:type="dxa"/>
            <w:shd w:val="clear" w:color="auto" w:fill="000000" w:themeFill="text1"/>
          </w:tcPr>
          <w:p w:rsidR="008F12C3" w:rsidRPr="009751FA" w:rsidRDefault="008F12C3" w:rsidP="001F4E1F">
            <w:pPr>
              <w:spacing w:before="0" w:after="0"/>
              <w:contextualSpacing/>
              <w:rPr>
                <w:b w:val="0"/>
                <w:color w:val="FFFFFF" w:themeColor="background1"/>
                <w:sz w:val="20"/>
                <w:szCs w:val="22"/>
              </w:rPr>
            </w:pPr>
          </w:p>
        </w:tc>
      </w:tr>
      <w:tr w:rsidR="008F12C3" w:rsidRPr="009751FA" w:rsidTr="00532B57">
        <w:tc>
          <w:tcPr>
            <w:tcW w:w="2544" w:type="dxa"/>
          </w:tcPr>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Supervisor</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Advisory</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Vice Advisory</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Member</w:t>
            </w:r>
          </w:p>
        </w:tc>
        <w:tc>
          <w:tcPr>
            <w:tcW w:w="350" w:type="dxa"/>
          </w:tcPr>
          <w:p w:rsidR="008F12C3" w:rsidRPr="009751FA" w:rsidRDefault="008F12C3" w:rsidP="001F4E1F">
            <w:pPr>
              <w:spacing w:before="0" w:after="0" w:line="276" w:lineRule="auto"/>
              <w:ind w:left="0"/>
              <w:contextualSpacing/>
              <w:rPr>
                <w:b w:val="0"/>
                <w:sz w:val="20"/>
                <w:szCs w:val="22"/>
              </w:rPr>
            </w:pPr>
            <w:r w:rsidRPr="009751FA">
              <w:rPr>
                <w:b w:val="0"/>
                <w:sz w:val="20"/>
                <w:szCs w:val="22"/>
              </w:rPr>
              <w:t>:</w:t>
            </w:r>
          </w:p>
          <w:p w:rsidR="008F12C3" w:rsidRPr="009751FA" w:rsidRDefault="008F12C3" w:rsidP="001F4E1F">
            <w:pPr>
              <w:spacing w:before="0" w:after="0" w:line="276" w:lineRule="auto"/>
              <w:ind w:left="0"/>
              <w:contextualSpacing/>
              <w:rPr>
                <w:b w:val="0"/>
                <w:sz w:val="20"/>
                <w:szCs w:val="22"/>
              </w:rPr>
            </w:pPr>
            <w:r w:rsidRPr="009751FA">
              <w:rPr>
                <w:b w:val="0"/>
                <w:sz w:val="20"/>
                <w:szCs w:val="22"/>
              </w:rPr>
              <w:t>:</w:t>
            </w:r>
          </w:p>
          <w:p w:rsidR="008F12C3" w:rsidRPr="009751FA" w:rsidRDefault="008F12C3" w:rsidP="001F4E1F">
            <w:pPr>
              <w:spacing w:before="0" w:after="0" w:line="276" w:lineRule="auto"/>
              <w:ind w:left="0"/>
              <w:contextualSpacing/>
              <w:rPr>
                <w:b w:val="0"/>
                <w:sz w:val="20"/>
                <w:szCs w:val="22"/>
              </w:rPr>
            </w:pPr>
            <w:r w:rsidRPr="009751FA">
              <w:rPr>
                <w:b w:val="0"/>
                <w:sz w:val="20"/>
                <w:szCs w:val="22"/>
              </w:rPr>
              <w:t>:</w:t>
            </w:r>
          </w:p>
          <w:p w:rsidR="008F12C3" w:rsidRPr="009751FA" w:rsidRDefault="008F12C3" w:rsidP="001F4E1F">
            <w:pPr>
              <w:spacing w:before="0" w:after="0" w:line="276" w:lineRule="auto"/>
              <w:ind w:left="0"/>
              <w:contextualSpacing/>
              <w:rPr>
                <w:b w:val="0"/>
                <w:sz w:val="20"/>
                <w:szCs w:val="22"/>
              </w:rPr>
            </w:pPr>
            <w:r w:rsidRPr="009751FA">
              <w:rPr>
                <w:b w:val="0"/>
                <w:sz w:val="20"/>
                <w:szCs w:val="22"/>
              </w:rPr>
              <w:t>:</w:t>
            </w:r>
          </w:p>
        </w:tc>
        <w:tc>
          <w:tcPr>
            <w:tcW w:w="6428" w:type="dxa"/>
          </w:tcPr>
          <w:p w:rsidR="008F12C3" w:rsidRPr="00532B57" w:rsidRDefault="008F12C3" w:rsidP="001F4E1F">
            <w:pPr>
              <w:spacing w:before="0" w:after="0"/>
              <w:ind w:left="0"/>
              <w:contextualSpacing/>
              <w:rPr>
                <w:b w:val="0"/>
                <w:sz w:val="20"/>
                <w:szCs w:val="22"/>
              </w:rPr>
            </w:pPr>
            <w:r w:rsidRPr="00532B57">
              <w:rPr>
                <w:b w:val="0"/>
                <w:sz w:val="20"/>
                <w:szCs w:val="22"/>
              </w:rPr>
              <w:t>Prof. Dr. H. Karwono, M. Pd (Rektor)</w:t>
            </w:r>
          </w:p>
          <w:p w:rsidR="008F12C3" w:rsidRPr="009751FA" w:rsidRDefault="008F12C3" w:rsidP="001F4E1F">
            <w:pPr>
              <w:spacing w:before="0" w:after="0"/>
              <w:ind w:left="0"/>
              <w:contextualSpacing/>
              <w:rPr>
                <w:b w:val="0"/>
                <w:sz w:val="20"/>
                <w:szCs w:val="22"/>
              </w:rPr>
            </w:pPr>
            <w:r w:rsidRPr="009751FA">
              <w:rPr>
                <w:b w:val="0"/>
                <w:sz w:val="20"/>
                <w:szCs w:val="22"/>
              </w:rPr>
              <w:t>Dr. Bambang Suhada, S.E., M. Si</w:t>
            </w:r>
          </w:p>
          <w:p w:rsidR="008F12C3" w:rsidRPr="009751FA" w:rsidRDefault="008F12C3" w:rsidP="001F4E1F">
            <w:pPr>
              <w:spacing w:before="0" w:after="0"/>
              <w:ind w:left="0"/>
              <w:contextualSpacing/>
              <w:rPr>
                <w:b w:val="0"/>
                <w:sz w:val="20"/>
                <w:szCs w:val="22"/>
              </w:rPr>
            </w:pPr>
            <w:r w:rsidRPr="009751FA">
              <w:rPr>
                <w:b w:val="0"/>
                <w:sz w:val="20"/>
                <w:szCs w:val="22"/>
              </w:rPr>
              <w:t>Dr. Muhfahroyin, S. Pd., M.T.A</w:t>
            </w:r>
          </w:p>
          <w:p w:rsidR="008F12C3" w:rsidRPr="009751FA" w:rsidRDefault="008F12C3" w:rsidP="0098511B">
            <w:pPr>
              <w:pStyle w:val="ListParagraph"/>
              <w:numPr>
                <w:ilvl w:val="0"/>
                <w:numId w:val="5"/>
              </w:numPr>
              <w:spacing w:before="0" w:after="0"/>
              <w:ind w:left="459" w:hanging="425"/>
              <w:jc w:val="left"/>
              <w:rPr>
                <w:b w:val="0"/>
                <w:sz w:val="20"/>
                <w:szCs w:val="22"/>
              </w:rPr>
            </w:pPr>
            <w:r w:rsidRPr="009751FA">
              <w:rPr>
                <w:b w:val="0"/>
                <w:sz w:val="20"/>
                <w:szCs w:val="22"/>
              </w:rPr>
              <w:t>Drs. Jazim Ahmad, M. Pd</w:t>
            </w:r>
          </w:p>
          <w:p w:rsidR="008F12C3" w:rsidRPr="009751FA" w:rsidRDefault="008F12C3" w:rsidP="0098511B">
            <w:pPr>
              <w:pStyle w:val="ListParagraph"/>
              <w:numPr>
                <w:ilvl w:val="0"/>
                <w:numId w:val="5"/>
              </w:numPr>
              <w:spacing w:before="0" w:after="0"/>
              <w:ind w:left="459" w:hanging="425"/>
              <w:jc w:val="left"/>
              <w:rPr>
                <w:b w:val="0"/>
                <w:sz w:val="20"/>
                <w:szCs w:val="22"/>
              </w:rPr>
            </w:pPr>
            <w:r w:rsidRPr="009751FA">
              <w:rPr>
                <w:b w:val="0"/>
                <w:sz w:val="20"/>
                <w:szCs w:val="22"/>
              </w:rPr>
              <w:t>Drs. Sarbini, M. Ag</w:t>
            </w:r>
          </w:p>
          <w:p w:rsidR="008F12C3" w:rsidRPr="009751FA" w:rsidRDefault="008F12C3" w:rsidP="0098511B">
            <w:pPr>
              <w:pStyle w:val="ListParagraph"/>
              <w:numPr>
                <w:ilvl w:val="0"/>
                <w:numId w:val="5"/>
              </w:numPr>
              <w:spacing w:before="0" w:after="0"/>
              <w:ind w:left="459" w:hanging="425"/>
              <w:jc w:val="left"/>
              <w:rPr>
                <w:b w:val="0"/>
                <w:sz w:val="20"/>
                <w:szCs w:val="22"/>
              </w:rPr>
            </w:pPr>
            <w:r w:rsidRPr="009751FA">
              <w:rPr>
                <w:b w:val="0"/>
                <w:sz w:val="20"/>
                <w:szCs w:val="22"/>
              </w:rPr>
              <w:t>Dr. Achyani, M. Si</w:t>
            </w:r>
          </w:p>
          <w:p w:rsidR="008F12C3" w:rsidRPr="009751FA" w:rsidRDefault="008F12C3" w:rsidP="0098511B">
            <w:pPr>
              <w:pStyle w:val="ListParagraph"/>
              <w:numPr>
                <w:ilvl w:val="0"/>
                <w:numId w:val="5"/>
              </w:numPr>
              <w:spacing w:before="0" w:after="0"/>
              <w:ind w:left="459" w:hanging="425"/>
              <w:jc w:val="left"/>
              <w:rPr>
                <w:b w:val="0"/>
                <w:sz w:val="20"/>
                <w:szCs w:val="22"/>
              </w:rPr>
            </w:pPr>
            <w:r w:rsidRPr="009751FA">
              <w:rPr>
                <w:b w:val="0"/>
                <w:sz w:val="20"/>
                <w:szCs w:val="22"/>
              </w:rPr>
              <w:t>Dr. Nyoto Suseno, M. Si</w:t>
            </w:r>
          </w:p>
          <w:p w:rsidR="008F12C3" w:rsidRPr="009751FA" w:rsidRDefault="008F12C3" w:rsidP="0098511B">
            <w:pPr>
              <w:pStyle w:val="ListParagraph"/>
              <w:numPr>
                <w:ilvl w:val="0"/>
                <w:numId w:val="5"/>
              </w:numPr>
              <w:spacing w:before="0" w:after="0"/>
              <w:ind w:left="459" w:hanging="425"/>
              <w:jc w:val="left"/>
              <w:rPr>
                <w:b w:val="0"/>
                <w:sz w:val="20"/>
                <w:szCs w:val="22"/>
              </w:rPr>
            </w:pPr>
            <w:r w:rsidRPr="009751FA">
              <w:rPr>
                <w:b w:val="0"/>
                <w:sz w:val="20"/>
                <w:szCs w:val="22"/>
              </w:rPr>
              <w:t>Dr. Agus Sujarwanta, M. Pd</w:t>
            </w:r>
          </w:p>
        </w:tc>
      </w:tr>
      <w:tr w:rsidR="008F12C3" w:rsidRPr="009751FA" w:rsidTr="00532B57">
        <w:tc>
          <w:tcPr>
            <w:tcW w:w="2544" w:type="dxa"/>
            <w:shd w:val="clear" w:color="auto" w:fill="000000" w:themeFill="text1"/>
          </w:tcPr>
          <w:p w:rsidR="008F12C3" w:rsidRPr="009751FA" w:rsidRDefault="008F12C3" w:rsidP="001F4E1F">
            <w:pPr>
              <w:spacing w:before="0" w:after="0"/>
              <w:ind w:left="0"/>
              <w:contextualSpacing/>
              <w:rPr>
                <w:color w:val="FFFFFF" w:themeColor="background1"/>
                <w:sz w:val="20"/>
                <w:szCs w:val="22"/>
                <w:lang w:val="id-ID"/>
              </w:rPr>
            </w:pPr>
            <w:r w:rsidRPr="009751FA">
              <w:rPr>
                <w:color w:val="FFFFFF" w:themeColor="background1"/>
                <w:sz w:val="20"/>
                <w:szCs w:val="22"/>
                <w:lang w:val="id-ID"/>
              </w:rPr>
              <w:t>Organizing Committee</w:t>
            </w:r>
          </w:p>
        </w:tc>
        <w:tc>
          <w:tcPr>
            <w:tcW w:w="350" w:type="dxa"/>
            <w:shd w:val="clear" w:color="auto" w:fill="000000" w:themeFill="text1"/>
          </w:tcPr>
          <w:p w:rsidR="008F12C3" w:rsidRPr="009751FA" w:rsidRDefault="008F12C3" w:rsidP="001F4E1F">
            <w:pPr>
              <w:spacing w:before="0" w:after="0"/>
              <w:contextualSpacing/>
              <w:rPr>
                <w:b w:val="0"/>
                <w:color w:val="FFFFFF" w:themeColor="background1"/>
                <w:sz w:val="20"/>
                <w:szCs w:val="22"/>
              </w:rPr>
            </w:pPr>
          </w:p>
        </w:tc>
        <w:tc>
          <w:tcPr>
            <w:tcW w:w="6428" w:type="dxa"/>
            <w:shd w:val="clear" w:color="auto" w:fill="000000" w:themeFill="text1"/>
          </w:tcPr>
          <w:p w:rsidR="008F12C3" w:rsidRPr="009751FA" w:rsidRDefault="008F12C3" w:rsidP="001F4E1F">
            <w:pPr>
              <w:spacing w:before="0" w:after="0"/>
              <w:contextualSpacing/>
              <w:rPr>
                <w:b w:val="0"/>
                <w:color w:val="FFFFFF" w:themeColor="background1"/>
                <w:sz w:val="20"/>
                <w:szCs w:val="22"/>
              </w:rPr>
            </w:pPr>
          </w:p>
        </w:tc>
      </w:tr>
      <w:tr w:rsidR="008F12C3" w:rsidRPr="009751FA" w:rsidTr="00532B57">
        <w:trPr>
          <w:trHeight w:val="1378"/>
        </w:trPr>
        <w:tc>
          <w:tcPr>
            <w:tcW w:w="2544" w:type="dxa"/>
          </w:tcPr>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Chairperson</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Secretary</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Vice Secretary</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Tresurer</w:t>
            </w:r>
          </w:p>
          <w:p w:rsidR="008F12C3" w:rsidRPr="009751FA" w:rsidRDefault="008F12C3" w:rsidP="001F4E1F">
            <w:pPr>
              <w:spacing w:before="0" w:after="0" w:line="276" w:lineRule="auto"/>
              <w:ind w:left="0" w:firstLine="284"/>
              <w:contextualSpacing/>
              <w:rPr>
                <w:b w:val="0"/>
                <w:sz w:val="20"/>
                <w:szCs w:val="22"/>
                <w:lang w:val="id-ID"/>
              </w:rPr>
            </w:pPr>
            <w:r w:rsidRPr="009751FA">
              <w:rPr>
                <w:b w:val="0"/>
                <w:sz w:val="20"/>
                <w:szCs w:val="22"/>
                <w:lang w:val="id-ID"/>
              </w:rPr>
              <w:t>Vice Tresurer</w:t>
            </w:r>
          </w:p>
        </w:tc>
        <w:tc>
          <w:tcPr>
            <w:tcW w:w="350" w:type="dxa"/>
          </w:tcPr>
          <w:p w:rsidR="008F12C3" w:rsidRPr="009751FA" w:rsidRDefault="008F12C3" w:rsidP="001F4E1F">
            <w:pPr>
              <w:spacing w:before="0" w:after="0" w:line="276" w:lineRule="auto"/>
              <w:contextualSpacing/>
              <w:rPr>
                <w:b w:val="0"/>
                <w:sz w:val="20"/>
                <w:szCs w:val="22"/>
              </w:rPr>
            </w:pPr>
            <w:r w:rsidRPr="009751FA">
              <w:rPr>
                <w:b w:val="0"/>
                <w:sz w:val="20"/>
                <w:szCs w:val="22"/>
              </w:rPr>
              <w:t>:</w:t>
            </w:r>
          </w:p>
          <w:p w:rsidR="008F12C3" w:rsidRPr="009751FA" w:rsidRDefault="008F12C3" w:rsidP="001F4E1F">
            <w:pPr>
              <w:spacing w:before="0" w:after="0" w:line="276" w:lineRule="auto"/>
              <w:contextualSpacing/>
              <w:rPr>
                <w:b w:val="0"/>
                <w:sz w:val="20"/>
                <w:szCs w:val="22"/>
              </w:rPr>
            </w:pPr>
            <w:r w:rsidRPr="009751FA">
              <w:rPr>
                <w:b w:val="0"/>
                <w:sz w:val="20"/>
                <w:szCs w:val="22"/>
              </w:rPr>
              <w:t>:</w:t>
            </w:r>
          </w:p>
          <w:p w:rsidR="008F12C3" w:rsidRPr="009751FA" w:rsidRDefault="008F12C3" w:rsidP="001F4E1F">
            <w:pPr>
              <w:spacing w:before="0" w:after="0" w:line="276" w:lineRule="auto"/>
              <w:contextualSpacing/>
              <w:rPr>
                <w:b w:val="0"/>
                <w:sz w:val="20"/>
                <w:szCs w:val="22"/>
              </w:rPr>
            </w:pPr>
            <w:r w:rsidRPr="009751FA">
              <w:rPr>
                <w:b w:val="0"/>
                <w:sz w:val="20"/>
                <w:szCs w:val="22"/>
              </w:rPr>
              <w:t>:</w:t>
            </w:r>
          </w:p>
          <w:p w:rsidR="008F12C3" w:rsidRPr="009751FA" w:rsidRDefault="008F12C3" w:rsidP="001F4E1F">
            <w:pPr>
              <w:spacing w:before="0" w:after="0" w:line="276" w:lineRule="auto"/>
              <w:contextualSpacing/>
              <w:rPr>
                <w:b w:val="0"/>
                <w:sz w:val="20"/>
                <w:szCs w:val="22"/>
              </w:rPr>
            </w:pPr>
            <w:r w:rsidRPr="009751FA">
              <w:rPr>
                <w:b w:val="0"/>
                <w:sz w:val="20"/>
                <w:szCs w:val="22"/>
              </w:rPr>
              <w:t>:</w:t>
            </w:r>
          </w:p>
          <w:p w:rsidR="008F12C3" w:rsidRPr="009751FA" w:rsidRDefault="008F12C3" w:rsidP="001F4E1F">
            <w:pPr>
              <w:spacing w:before="0" w:after="0" w:line="276" w:lineRule="auto"/>
              <w:contextualSpacing/>
              <w:rPr>
                <w:b w:val="0"/>
                <w:sz w:val="20"/>
                <w:szCs w:val="22"/>
              </w:rPr>
            </w:pPr>
            <w:r w:rsidRPr="009751FA">
              <w:rPr>
                <w:b w:val="0"/>
                <w:sz w:val="20"/>
                <w:szCs w:val="22"/>
              </w:rPr>
              <w:t>:</w:t>
            </w:r>
          </w:p>
        </w:tc>
        <w:tc>
          <w:tcPr>
            <w:tcW w:w="6428" w:type="dxa"/>
          </w:tcPr>
          <w:p w:rsidR="008F12C3" w:rsidRPr="009751FA" w:rsidRDefault="008F12C3" w:rsidP="001F4E1F">
            <w:pPr>
              <w:spacing w:before="0" w:after="0" w:line="276" w:lineRule="auto"/>
              <w:ind w:left="0"/>
              <w:contextualSpacing/>
              <w:rPr>
                <w:b w:val="0"/>
                <w:sz w:val="20"/>
                <w:szCs w:val="22"/>
              </w:rPr>
            </w:pPr>
            <w:r w:rsidRPr="009751FA">
              <w:rPr>
                <w:b w:val="0"/>
                <w:sz w:val="20"/>
                <w:szCs w:val="22"/>
              </w:rPr>
              <w:t>Dr. M. Ihsan Dacholfany, M. Ed</w:t>
            </w:r>
          </w:p>
          <w:p w:rsidR="008F12C3" w:rsidRPr="009751FA" w:rsidRDefault="008F12C3" w:rsidP="001F4E1F">
            <w:pPr>
              <w:spacing w:before="0" w:after="0" w:line="276" w:lineRule="auto"/>
              <w:ind w:left="0"/>
              <w:contextualSpacing/>
              <w:rPr>
                <w:b w:val="0"/>
                <w:sz w:val="20"/>
                <w:szCs w:val="22"/>
              </w:rPr>
            </w:pPr>
            <w:r w:rsidRPr="009751FA">
              <w:rPr>
                <w:b w:val="0"/>
                <w:sz w:val="20"/>
                <w:szCs w:val="22"/>
              </w:rPr>
              <w:t>Kian Amboro, M. Pd</w:t>
            </w:r>
          </w:p>
          <w:p w:rsidR="008F12C3" w:rsidRPr="009751FA" w:rsidRDefault="008F12C3" w:rsidP="001F4E1F">
            <w:pPr>
              <w:spacing w:before="0" w:after="0" w:line="276" w:lineRule="auto"/>
              <w:ind w:left="0"/>
              <w:contextualSpacing/>
              <w:rPr>
                <w:b w:val="0"/>
                <w:sz w:val="20"/>
                <w:szCs w:val="22"/>
              </w:rPr>
            </w:pPr>
            <w:r w:rsidRPr="009751FA">
              <w:rPr>
                <w:b w:val="0"/>
                <w:sz w:val="20"/>
                <w:szCs w:val="22"/>
              </w:rPr>
              <w:t>Suwarto, S.E., M.M</w:t>
            </w:r>
          </w:p>
          <w:p w:rsidR="008F12C3" w:rsidRPr="009751FA" w:rsidRDefault="008F12C3" w:rsidP="001F4E1F">
            <w:pPr>
              <w:spacing w:before="0" w:after="0" w:line="276" w:lineRule="auto"/>
              <w:ind w:left="0"/>
              <w:contextualSpacing/>
              <w:rPr>
                <w:b w:val="0"/>
                <w:sz w:val="20"/>
                <w:szCs w:val="22"/>
              </w:rPr>
            </w:pPr>
            <w:r w:rsidRPr="009751FA">
              <w:rPr>
                <w:b w:val="0"/>
                <w:sz w:val="20"/>
                <w:szCs w:val="22"/>
              </w:rPr>
              <w:t>Nedi Hendri, S.E., M. Si., Akt., C.A</w:t>
            </w:r>
          </w:p>
          <w:p w:rsidR="008F12C3" w:rsidRPr="009751FA" w:rsidRDefault="008F12C3" w:rsidP="001F4E1F">
            <w:pPr>
              <w:spacing w:before="0" w:after="0" w:line="276" w:lineRule="auto"/>
              <w:ind w:left="0"/>
              <w:contextualSpacing/>
              <w:rPr>
                <w:b w:val="0"/>
                <w:sz w:val="20"/>
                <w:szCs w:val="22"/>
              </w:rPr>
            </w:pPr>
            <w:r w:rsidRPr="009751FA">
              <w:rPr>
                <w:b w:val="0"/>
                <w:sz w:val="20"/>
                <w:szCs w:val="22"/>
              </w:rPr>
              <w:t>Didik Wahyudi, S.E</w:t>
            </w:r>
          </w:p>
        </w:tc>
      </w:tr>
    </w:tbl>
    <w:p w:rsidR="008F12C3" w:rsidRPr="001E3C57" w:rsidRDefault="008F12C3" w:rsidP="001F4E1F">
      <w:pPr>
        <w:spacing w:before="0" w:after="0"/>
        <w:ind w:left="0"/>
        <w:contextualSpacing/>
        <w:rPr>
          <w:b/>
          <w:color w:val="000000" w:themeColor="text1"/>
          <w:sz w:val="2"/>
          <w:szCs w:val="34"/>
        </w:rPr>
      </w:pPr>
    </w:p>
    <w:tbl>
      <w:tblPr>
        <w:tblStyle w:val="TableGrid"/>
        <w:tblW w:w="93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28"/>
        <w:gridCol w:w="308"/>
        <w:gridCol w:w="2825"/>
        <w:gridCol w:w="283"/>
        <w:gridCol w:w="1340"/>
        <w:gridCol w:w="241"/>
        <w:gridCol w:w="3094"/>
      </w:tblGrid>
      <w:tr w:rsidR="00532B57" w:rsidRPr="009751FA" w:rsidTr="00532B57">
        <w:tc>
          <w:tcPr>
            <w:tcW w:w="4361" w:type="dxa"/>
            <w:gridSpan w:val="3"/>
            <w:shd w:val="clear" w:color="auto" w:fill="000000" w:themeFill="text1"/>
          </w:tcPr>
          <w:p w:rsidR="00532B57" w:rsidRPr="009751FA" w:rsidRDefault="00532B57" w:rsidP="0098511B">
            <w:pPr>
              <w:pStyle w:val="ListParagraph"/>
              <w:numPr>
                <w:ilvl w:val="0"/>
                <w:numId w:val="11"/>
              </w:numPr>
              <w:spacing w:before="0" w:after="0"/>
              <w:ind w:left="360"/>
              <w:jc w:val="left"/>
              <w:rPr>
                <w:color w:val="FFFFFF" w:themeColor="background1"/>
                <w:sz w:val="20"/>
                <w:szCs w:val="22"/>
              </w:rPr>
            </w:pPr>
            <w:r w:rsidRPr="009751FA">
              <w:rPr>
                <w:color w:val="FFFFFF" w:themeColor="background1"/>
                <w:sz w:val="20"/>
                <w:szCs w:val="22"/>
                <w:lang w:val="id-ID"/>
              </w:rPr>
              <w:t>Special Event</w:t>
            </w:r>
          </w:p>
        </w:tc>
        <w:tc>
          <w:tcPr>
            <w:tcW w:w="283" w:type="dxa"/>
            <w:shd w:val="clear" w:color="auto" w:fill="auto"/>
          </w:tcPr>
          <w:p w:rsidR="00532B57" w:rsidRPr="00532B57" w:rsidRDefault="00532B57" w:rsidP="001F4E1F">
            <w:pPr>
              <w:spacing w:before="0" w:after="0"/>
              <w:ind w:left="360"/>
              <w:jc w:val="left"/>
              <w:rPr>
                <w:color w:val="FFFFFF" w:themeColor="background1"/>
                <w:sz w:val="20"/>
                <w:szCs w:val="22"/>
              </w:rPr>
            </w:pPr>
          </w:p>
        </w:tc>
        <w:tc>
          <w:tcPr>
            <w:tcW w:w="4675" w:type="dxa"/>
            <w:gridSpan w:val="3"/>
            <w:shd w:val="clear" w:color="auto" w:fill="000000" w:themeFill="text1"/>
          </w:tcPr>
          <w:p w:rsidR="00532B57" w:rsidRPr="009751FA" w:rsidRDefault="00532B57" w:rsidP="0098511B">
            <w:pPr>
              <w:pStyle w:val="ListParagraph"/>
              <w:numPr>
                <w:ilvl w:val="0"/>
                <w:numId w:val="11"/>
              </w:numPr>
              <w:spacing w:before="0" w:after="0"/>
              <w:ind w:left="360"/>
              <w:jc w:val="left"/>
              <w:rPr>
                <w:color w:val="FFFFFF" w:themeColor="background1"/>
                <w:sz w:val="20"/>
                <w:szCs w:val="22"/>
              </w:rPr>
            </w:pPr>
            <w:r w:rsidRPr="009751FA">
              <w:rPr>
                <w:color w:val="FFFFFF" w:themeColor="background1"/>
                <w:sz w:val="20"/>
                <w:szCs w:val="22"/>
              </w:rPr>
              <w:t>Sponsorship</w:t>
            </w:r>
            <w:r w:rsidRPr="009751FA">
              <w:rPr>
                <w:color w:val="FFFFFF" w:themeColor="background1"/>
                <w:sz w:val="20"/>
                <w:szCs w:val="22"/>
                <w:lang w:val="id-ID"/>
              </w:rPr>
              <w:t xml:space="preserve"> &amp; Public</w:t>
            </w:r>
          </w:p>
        </w:tc>
      </w:tr>
      <w:tr w:rsidR="00532B57" w:rsidRPr="009751FA" w:rsidTr="00532B57">
        <w:tc>
          <w:tcPr>
            <w:tcW w:w="1228" w:type="dxa"/>
          </w:tcPr>
          <w:p w:rsidR="00532B57" w:rsidRPr="009751FA" w:rsidRDefault="00532B57" w:rsidP="001F4E1F">
            <w:pPr>
              <w:pStyle w:val="ListParagraph"/>
              <w:spacing w:before="0" w:after="0"/>
              <w:ind w:left="0"/>
              <w:rPr>
                <w:b w:val="0"/>
                <w:color w:val="000000" w:themeColor="text1"/>
                <w:sz w:val="20"/>
                <w:szCs w:val="22"/>
              </w:rPr>
            </w:pPr>
            <w:r w:rsidRPr="009751FA">
              <w:rPr>
                <w:b w:val="0"/>
                <w:color w:val="000000" w:themeColor="text1"/>
                <w:sz w:val="20"/>
                <w:szCs w:val="22"/>
                <w:lang w:val="id-ID"/>
              </w:rPr>
              <w:t>C</w:t>
            </w:r>
            <w:r w:rsidRPr="009751FA">
              <w:rPr>
                <w:b w:val="0"/>
                <w:color w:val="000000" w:themeColor="text1"/>
                <w:sz w:val="20"/>
                <w:szCs w:val="22"/>
              </w:rPr>
              <w:t>oordinator</w:t>
            </w:r>
          </w:p>
        </w:tc>
        <w:tc>
          <w:tcPr>
            <w:tcW w:w="308"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w:t>
            </w:r>
          </w:p>
        </w:tc>
        <w:tc>
          <w:tcPr>
            <w:tcW w:w="2825"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Fenny Thresia, S.Pd., M.Pd.</w:t>
            </w:r>
          </w:p>
        </w:tc>
        <w:tc>
          <w:tcPr>
            <w:tcW w:w="283" w:type="dxa"/>
          </w:tcPr>
          <w:p w:rsidR="00532B57" w:rsidRPr="009751FA" w:rsidRDefault="00532B57" w:rsidP="001F4E1F">
            <w:pPr>
              <w:spacing w:before="0" w:after="0"/>
              <w:ind w:left="0"/>
              <w:rPr>
                <w:color w:val="000000" w:themeColor="text1"/>
                <w:sz w:val="20"/>
                <w:szCs w:val="22"/>
                <w:lang w:val="id-ID"/>
              </w:rPr>
            </w:pPr>
          </w:p>
        </w:tc>
        <w:tc>
          <w:tcPr>
            <w:tcW w:w="1340"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lang w:val="id-ID"/>
              </w:rPr>
              <w:t>C</w:t>
            </w:r>
            <w:r w:rsidRPr="009751FA">
              <w:rPr>
                <w:b w:val="0"/>
                <w:color w:val="000000" w:themeColor="text1"/>
                <w:sz w:val="20"/>
                <w:szCs w:val="22"/>
              </w:rPr>
              <w:t>oordinator</w:t>
            </w:r>
          </w:p>
        </w:tc>
        <w:tc>
          <w:tcPr>
            <w:tcW w:w="241" w:type="dxa"/>
          </w:tcPr>
          <w:p w:rsidR="00532B57" w:rsidRPr="009751FA" w:rsidRDefault="00532B57" w:rsidP="001F4E1F">
            <w:pPr>
              <w:spacing w:before="0" w:after="0"/>
              <w:ind w:left="0"/>
              <w:rPr>
                <w:b w:val="0"/>
                <w:color w:val="000000" w:themeColor="text1"/>
                <w:sz w:val="20"/>
              </w:rPr>
            </w:pPr>
            <w:r w:rsidRPr="009751FA">
              <w:rPr>
                <w:b w:val="0"/>
                <w:color w:val="000000" w:themeColor="text1"/>
                <w:sz w:val="20"/>
              </w:rPr>
              <w:t>:</w:t>
            </w:r>
          </w:p>
        </w:tc>
        <w:tc>
          <w:tcPr>
            <w:tcW w:w="3094"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Saifudin Latif Darmawan, M. Pd</w:t>
            </w:r>
          </w:p>
        </w:tc>
      </w:tr>
      <w:tr w:rsidR="00532B57" w:rsidRPr="009751FA" w:rsidTr="00532B57">
        <w:tc>
          <w:tcPr>
            <w:tcW w:w="1228" w:type="dxa"/>
          </w:tcPr>
          <w:p w:rsidR="00532B57" w:rsidRPr="009751FA" w:rsidRDefault="00532B57" w:rsidP="001F4E1F">
            <w:pPr>
              <w:pStyle w:val="ListParagraph"/>
              <w:spacing w:before="0" w:after="0"/>
              <w:ind w:left="0"/>
              <w:rPr>
                <w:b w:val="0"/>
                <w:color w:val="000000" w:themeColor="text1"/>
                <w:sz w:val="20"/>
                <w:szCs w:val="22"/>
                <w:lang w:val="id-ID"/>
              </w:rPr>
            </w:pPr>
            <w:r w:rsidRPr="009751FA">
              <w:rPr>
                <w:b w:val="0"/>
                <w:color w:val="000000" w:themeColor="text1"/>
                <w:sz w:val="20"/>
                <w:szCs w:val="22"/>
                <w:lang w:val="id-ID"/>
              </w:rPr>
              <w:t>Member</w:t>
            </w:r>
          </w:p>
        </w:tc>
        <w:tc>
          <w:tcPr>
            <w:tcW w:w="308" w:type="dxa"/>
          </w:tcPr>
          <w:p w:rsidR="00532B57" w:rsidRPr="009751FA" w:rsidRDefault="00532B57" w:rsidP="001F4E1F">
            <w:pPr>
              <w:spacing w:before="0" w:after="0"/>
              <w:rPr>
                <w:b w:val="0"/>
                <w:color w:val="000000" w:themeColor="text1"/>
                <w:sz w:val="20"/>
                <w:szCs w:val="22"/>
              </w:rPr>
            </w:pPr>
          </w:p>
        </w:tc>
        <w:tc>
          <w:tcPr>
            <w:tcW w:w="2825" w:type="dxa"/>
          </w:tcPr>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Dedi Subandowo, M. Pd</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Lilis Sholehah,  M. Pd</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Swaditya Rizki, M. Pd</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Ardiansyah J, S.E., M. Ba., AWM</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 xml:space="preserve">Intan Pelangi, S.H., M.H </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Kartikasari, M. Bt S</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Eva Falianti, M. Pd</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Fitri Palupi K, M. Pd</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Hilda Manarul Huda</w:t>
            </w:r>
          </w:p>
          <w:p w:rsidR="00532B57" w:rsidRPr="009751FA" w:rsidRDefault="00532B57" w:rsidP="0098511B">
            <w:pPr>
              <w:pStyle w:val="ListParagraph"/>
              <w:numPr>
                <w:ilvl w:val="0"/>
                <w:numId w:val="7"/>
              </w:numPr>
              <w:spacing w:before="0" w:after="0"/>
              <w:ind w:left="307" w:hanging="307"/>
              <w:jc w:val="left"/>
              <w:rPr>
                <w:b w:val="0"/>
                <w:color w:val="000000" w:themeColor="text1"/>
                <w:sz w:val="20"/>
                <w:szCs w:val="22"/>
              </w:rPr>
            </w:pPr>
            <w:r w:rsidRPr="009751FA">
              <w:rPr>
                <w:b w:val="0"/>
                <w:color w:val="000000" w:themeColor="text1"/>
                <w:sz w:val="20"/>
                <w:szCs w:val="22"/>
              </w:rPr>
              <w:t>Setia Rahayu</w:t>
            </w:r>
          </w:p>
        </w:tc>
        <w:tc>
          <w:tcPr>
            <w:tcW w:w="283" w:type="dxa"/>
          </w:tcPr>
          <w:p w:rsidR="00532B57" w:rsidRPr="009751FA" w:rsidRDefault="00532B57" w:rsidP="001F4E1F">
            <w:pPr>
              <w:spacing w:before="0" w:after="0"/>
              <w:ind w:left="0"/>
              <w:rPr>
                <w:color w:val="000000" w:themeColor="text1"/>
                <w:sz w:val="20"/>
                <w:szCs w:val="22"/>
                <w:lang w:val="id-ID"/>
              </w:rPr>
            </w:pPr>
          </w:p>
        </w:tc>
        <w:tc>
          <w:tcPr>
            <w:tcW w:w="1340"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lang w:val="id-ID"/>
              </w:rPr>
              <w:t>Member</w:t>
            </w:r>
          </w:p>
        </w:tc>
        <w:tc>
          <w:tcPr>
            <w:tcW w:w="241" w:type="dxa"/>
          </w:tcPr>
          <w:p w:rsidR="00532B57" w:rsidRPr="009751FA" w:rsidRDefault="00532B57" w:rsidP="001F4E1F">
            <w:pPr>
              <w:spacing w:before="0" w:after="0"/>
              <w:rPr>
                <w:b w:val="0"/>
                <w:color w:val="000000" w:themeColor="text1"/>
                <w:sz w:val="20"/>
                <w:szCs w:val="22"/>
              </w:rPr>
            </w:pPr>
          </w:p>
        </w:tc>
        <w:tc>
          <w:tcPr>
            <w:tcW w:w="3094" w:type="dxa"/>
          </w:tcPr>
          <w:p w:rsidR="00532B57" w:rsidRPr="009751FA" w:rsidRDefault="00532B57" w:rsidP="0098511B">
            <w:pPr>
              <w:pStyle w:val="ListParagraph"/>
              <w:numPr>
                <w:ilvl w:val="0"/>
                <w:numId w:val="6"/>
              </w:numPr>
              <w:spacing w:before="0" w:after="0"/>
              <w:ind w:left="425" w:hanging="425"/>
              <w:jc w:val="left"/>
              <w:rPr>
                <w:b w:val="0"/>
                <w:color w:val="000000" w:themeColor="text1"/>
                <w:sz w:val="20"/>
                <w:szCs w:val="22"/>
              </w:rPr>
            </w:pPr>
            <w:r w:rsidRPr="009751FA">
              <w:rPr>
                <w:b w:val="0"/>
                <w:color w:val="000000" w:themeColor="text1"/>
                <w:sz w:val="20"/>
                <w:szCs w:val="22"/>
              </w:rPr>
              <w:t>Oki Hajiansyah Wahab, M.A</w:t>
            </w:r>
          </w:p>
          <w:p w:rsidR="00532B57" w:rsidRPr="009751FA" w:rsidRDefault="00532B57" w:rsidP="0098511B">
            <w:pPr>
              <w:pStyle w:val="ListParagraph"/>
              <w:numPr>
                <w:ilvl w:val="0"/>
                <w:numId w:val="6"/>
              </w:numPr>
              <w:spacing w:before="0" w:after="0"/>
              <w:ind w:left="425" w:hanging="425"/>
              <w:jc w:val="left"/>
              <w:rPr>
                <w:b w:val="0"/>
                <w:color w:val="000000" w:themeColor="text1"/>
                <w:sz w:val="20"/>
                <w:szCs w:val="22"/>
              </w:rPr>
            </w:pPr>
            <w:r w:rsidRPr="009751FA">
              <w:rPr>
                <w:b w:val="0"/>
                <w:color w:val="000000" w:themeColor="text1"/>
                <w:sz w:val="20"/>
                <w:szCs w:val="22"/>
              </w:rPr>
              <w:t>Bobi Hidayat, M. Pd</w:t>
            </w:r>
          </w:p>
          <w:p w:rsidR="00532B57" w:rsidRPr="009751FA" w:rsidRDefault="00532B57" w:rsidP="0098511B">
            <w:pPr>
              <w:pStyle w:val="ListParagraph"/>
              <w:numPr>
                <w:ilvl w:val="0"/>
                <w:numId w:val="6"/>
              </w:numPr>
              <w:spacing w:before="0" w:after="0"/>
              <w:ind w:left="425" w:hanging="425"/>
              <w:jc w:val="left"/>
              <w:rPr>
                <w:b w:val="0"/>
                <w:color w:val="000000" w:themeColor="text1"/>
                <w:sz w:val="20"/>
                <w:szCs w:val="22"/>
              </w:rPr>
            </w:pPr>
            <w:r w:rsidRPr="009751FA">
              <w:rPr>
                <w:b w:val="0"/>
                <w:color w:val="000000" w:themeColor="text1"/>
                <w:sz w:val="20"/>
                <w:szCs w:val="22"/>
              </w:rPr>
              <w:t>Heri Cahyono, M. Pd. I</w:t>
            </w:r>
          </w:p>
          <w:p w:rsidR="00532B57" w:rsidRPr="009751FA" w:rsidRDefault="00532B57" w:rsidP="0098511B">
            <w:pPr>
              <w:pStyle w:val="ListParagraph"/>
              <w:numPr>
                <w:ilvl w:val="0"/>
                <w:numId w:val="6"/>
              </w:numPr>
              <w:spacing w:before="0" w:after="0"/>
              <w:ind w:left="425" w:hanging="425"/>
              <w:jc w:val="left"/>
              <w:rPr>
                <w:b w:val="0"/>
                <w:color w:val="000000" w:themeColor="text1"/>
                <w:sz w:val="20"/>
                <w:szCs w:val="22"/>
              </w:rPr>
            </w:pPr>
            <w:r w:rsidRPr="009751FA">
              <w:rPr>
                <w:b w:val="0"/>
                <w:color w:val="000000" w:themeColor="text1"/>
                <w:sz w:val="20"/>
                <w:szCs w:val="22"/>
              </w:rPr>
              <w:t>M. Noor Islahudin, LLM</w:t>
            </w:r>
          </w:p>
          <w:p w:rsidR="00532B57" w:rsidRPr="009751FA" w:rsidRDefault="00532B57" w:rsidP="0098511B">
            <w:pPr>
              <w:pStyle w:val="ListParagraph"/>
              <w:numPr>
                <w:ilvl w:val="0"/>
                <w:numId w:val="6"/>
              </w:numPr>
              <w:spacing w:before="0" w:after="0"/>
              <w:ind w:left="425" w:hanging="425"/>
              <w:jc w:val="left"/>
              <w:rPr>
                <w:b w:val="0"/>
                <w:color w:val="000000" w:themeColor="text1"/>
                <w:sz w:val="20"/>
                <w:szCs w:val="22"/>
              </w:rPr>
            </w:pPr>
            <w:r w:rsidRPr="009751FA">
              <w:rPr>
                <w:b w:val="0"/>
                <w:color w:val="000000" w:themeColor="text1"/>
                <w:sz w:val="20"/>
                <w:szCs w:val="22"/>
              </w:rPr>
              <w:t>Beni Saputra</w:t>
            </w:r>
          </w:p>
          <w:p w:rsidR="00532B57" w:rsidRPr="009751FA" w:rsidRDefault="00532B57" w:rsidP="001F4E1F">
            <w:pPr>
              <w:spacing w:before="0" w:after="0"/>
              <w:rPr>
                <w:b w:val="0"/>
                <w:color w:val="000000" w:themeColor="text1"/>
                <w:sz w:val="20"/>
                <w:szCs w:val="22"/>
              </w:rPr>
            </w:pPr>
          </w:p>
        </w:tc>
      </w:tr>
    </w:tbl>
    <w:p w:rsidR="008F12C3" w:rsidRPr="001E3C57" w:rsidRDefault="008F12C3" w:rsidP="001F4E1F">
      <w:pPr>
        <w:spacing w:before="0" w:after="0"/>
        <w:ind w:left="0"/>
        <w:contextualSpacing/>
        <w:rPr>
          <w:b/>
          <w:color w:val="000000" w:themeColor="text1"/>
          <w:sz w:val="2"/>
          <w:szCs w:val="34"/>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1"/>
        <w:gridCol w:w="294"/>
        <w:gridCol w:w="2776"/>
        <w:gridCol w:w="283"/>
        <w:gridCol w:w="1433"/>
        <w:gridCol w:w="294"/>
        <w:gridCol w:w="3007"/>
      </w:tblGrid>
      <w:tr w:rsidR="00532B57" w:rsidRPr="009751FA" w:rsidTr="00532B57">
        <w:trPr>
          <w:trHeight w:val="260"/>
        </w:trPr>
        <w:tc>
          <w:tcPr>
            <w:tcW w:w="4361" w:type="dxa"/>
            <w:gridSpan w:val="3"/>
            <w:shd w:val="clear" w:color="auto" w:fill="000000" w:themeFill="text1"/>
          </w:tcPr>
          <w:p w:rsidR="00532B57" w:rsidRPr="009751FA" w:rsidRDefault="00532B57" w:rsidP="0098511B">
            <w:pPr>
              <w:pStyle w:val="ListParagraph"/>
              <w:numPr>
                <w:ilvl w:val="0"/>
                <w:numId w:val="11"/>
              </w:numPr>
              <w:spacing w:before="0" w:after="0"/>
              <w:ind w:left="360"/>
              <w:jc w:val="left"/>
              <w:rPr>
                <w:color w:val="FFFFFF" w:themeColor="background1"/>
                <w:sz w:val="20"/>
                <w:szCs w:val="22"/>
              </w:rPr>
            </w:pPr>
            <w:r w:rsidRPr="009751FA">
              <w:rPr>
                <w:color w:val="FFFFFF" w:themeColor="background1"/>
                <w:sz w:val="20"/>
                <w:szCs w:val="22"/>
                <w:lang w:val="id-ID"/>
              </w:rPr>
              <w:t>Secretariat</w:t>
            </w:r>
          </w:p>
        </w:tc>
        <w:tc>
          <w:tcPr>
            <w:tcW w:w="283" w:type="dxa"/>
            <w:shd w:val="clear" w:color="auto" w:fill="auto"/>
          </w:tcPr>
          <w:p w:rsidR="00532B57" w:rsidRPr="00532B57" w:rsidRDefault="00532B57" w:rsidP="001F4E1F">
            <w:pPr>
              <w:spacing w:before="0" w:after="0"/>
              <w:ind w:left="360"/>
              <w:jc w:val="left"/>
              <w:rPr>
                <w:color w:val="FFFFFF" w:themeColor="background1"/>
                <w:sz w:val="20"/>
                <w:szCs w:val="22"/>
              </w:rPr>
            </w:pPr>
          </w:p>
        </w:tc>
        <w:tc>
          <w:tcPr>
            <w:tcW w:w="4734" w:type="dxa"/>
            <w:gridSpan w:val="3"/>
            <w:shd w:val="clear" w:color="auto" w:fill="000000" w:themeFill="text1"/>
          </w:tcPr>
          <w:p w:rsidR="00532B57" w:rsidRPr="009751FA" w:rsidRDefault="00532B57" w:rsidP="0098511B">
            <w:pPr>
              <w:pStyle w:val="ListParagraph"/>
              <w:numPr>
                <w:ilvl w:val="0"/>
                <w:numId w:val="11"/>
              </w:numPr>
              <w:spacing w:before="0" w:after="0"/>
              <w:ind w:left="360"/>
              <w:jc w:val="left"/>
              <w:rPr>
                <w:color w:val="FFFFFF" w:themeColor="background1"/>
                <w:sz w:val="20"/>
                <w:szCs w:val="22"/>
              </w:rPr>
            </w:pPr>
            <w:r w:rsidRPr="009751FA">
              <w:rPr>
                <w:color w:val="FFFFFF" w:themeColor="background1"/>
                <w:sz w:val="20"/>
                <w:szCs w:val="22"/>
              </w:rPr>
              <w:t>Transporta</w:t>
            </w:r>
            <w:r w:rsidRPr="009751FA">
              <w:rPr>
                <w:color w:val="FFFFFF" w:themeColor="background1"/>
                <w:sz w:val="20"/>
                <w:szCs w:val="22"/>
                <w:lang w:val="id-ID"/>
              </w:rPr>
              <w:t>tion and</w:t>
            </w:r>
            <w:r w:rsidRPr="009751FA">
              <w:rPr>
                <w:color w:val="FFFFFF" w:themeColor="background1"/>
                <w:sz w:val="20"/>
                <w:szCs w:val="22"/>
              </w:rPr>
              <w:t xml:space="preserve"> A</w:t>
            </w:r>
            <w:r w:rsidRPr="009751FA">
              <w:rPr>
                <w:color w:val="FFFFFF" w:themeColor="background1"/>
                <w:sz w:val="20"/>
                <w:szCs w:val="22"/>
                <w:lang w:val="id-ID"/>
              </w:rPr>
              <w:t>cc</w:t>
            </w:r>
            <w:r w:rsidRPr="009751FA">
              <w:rPr>
                <w:color w:val="FFFFFF" w:themeColor="background1"/>
                <w:sz w:val="20"/>
                <w:szCs w:val="22"/>
              </w:rPr>
              <w:t>omoda</w:t>
            </w:r>
            <w:r w:rsidRPr="009751FA">
              <w:rPr>
                <w:color w:val="FFFFFF" w:themeColor="background1"/>
                <w:sz w:val="20"/>
                <w:szCs w:val="22"/>
                <w:lang w:val="id-ID"/>
              </w:rPr>
              <w:t>tion</w:t>
            </w:r>
          </w:p>
        </w:tc>
      </w:tr>
      <w:tr w:rsidR="00532B57" w:rsidRPr="009751FA" w:rsidTr="00532B57">
        <w:trPr>
          <w:trHeight w:val="493"/>
        </w:trPr>
        <w:tc>
          <w:tcPr>
            <w:tcW w:w="1291" w:type="dxa"/>
          </w:tcPr>
          <w:p w:rsidR="00532B57" w:rsidRPr="009751FA" w:rsidRDefault="00532B57" w:rsidP="001F4E1F">
            <w:pPr>
              <w:pStyle w:val="ListParagraph"/>
              <w:spacing w:before="0" w:after="0"/>
              <w:ind w:left="0"/>
              <w:rPr>
                <w:b w:val="0"/>
                <w:color w:val="000000" w:themeColor="text1"/>
                <w:sz w:val="20"/>
                <w:szCs w:val="22"/>
              </w:rPr>
            </w:pPr>
            <w:r w:rsidRPr="009751FA">
              <w:rPr>
                <w:b w:val="0"/>
                <w:color w:val="000000" w:themeColor="text1"/>
                <w:sz w:val="20"/>
                <w:szCs w:val="22"/>
                <w:lang w:val="id-ID"/>
              </w:rPr>
              <w:t>C</w:t>
            </w:r>
            <w:r w:rsidRPr="009751FA">
              <w:rPr>
                <w:b w:val="0"/>
                <w:color w:val="000000" w:themeColor="text1"/>
                <w:sz w:val="20"/>
                <w:szCs w:val="22"/>
              </w:rPr>
              <w:t>oordinator</w:t>
            </w:r>
          </w:p>
        </w:tc>
        <w:tc>
          <w:tcPr>
            <w:tcW w:w="294"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w:t>
            </w:r>
          </w:p>
        </w:tc>
        <w:tc>
          <w:tcPr>
            <w:tcW w:w="2776"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Dra. Suhartini</w:t>
            </w:r>
          </w:p>
        </w:tc>
        <w:tc>
          <w:tcPr>
            <w:tcW w:w="283" w:type="dxa"/>
          </w:tcPr>
          <w:p w:rsidR="00532B57" w:rsidRPr="009751FA" w:rsidRDefault="00532B57" w:rsidP="001F4E1F">
            <w:pPr>
              <w:pStyle w:val="ListParagraph"/>
              <w:spacing w:before="0" w:after="0"/>
              <w:ind w:left="0"/>
              <w:rPr>
                <w:color w:val="000000" w:themeColor="text1"/>
                <w:sz w:val="20"/>
                <w:szCs w:val="22"/>
                <w:lang w:val="id-ID"/>
              </w:rPr>
            </w:pPr>
          </w:p>
        </w:tc>
        <w:tc>
          <w:tcPr>
            <w:tcW w:w="1433" w:type="dxa"/>
          </w:tcPr>
          <w:p w:rsidR="00532B57" w:rsidRPr="009751FA" w:rsidRDefault="00532B57" w:rsidP="001F4E1F">
            <w:pPr>
              <w:pStyle w:val="ListParagraph"/>
              <w:spacing w:before="0" w:after="0"/>
              <w:ind w:left="0"/>
              <w:rPr>
                <w:b w:val="0"/>
                <w:color w:val="000000" w:themeColor="text1"/>
                <w:sz w:val="20"/>
                <w:szCs w:val="22"/>
              </w:rPr>
            </w:pPr>
            <w:r w:rsidRPr="009751FA">
              <w:rPr>
                <w:b w:val="0"/>
                <w:color w:val="000000" w:themeColor="text1"/>
                <w:sz w:val="20"/>
                <w:szCs w:val="22"/>
                <w:lang w:val="id-ID"/>
              </w:rPr>
              <w:t>C</w:t>
            </w:r>
            <w:r w:rsidRPr="009751FA">
              <w:rPr>
                <w:b w:val="0"/>
                <w:color w:val="000000" w:themeColor="text1"/>
                <w:sz w:val="20"/>
                <w:szCs w:val="22"/>
              </w:rPr>
              <w:t>oordinator</w:t>
            </w:r>
          </w:p>
        </w:tc>
        <w:tc>
          <w:tcPr>
            <w:tcW w:w="294"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w:t>
            </w:r>
          </w:p>
        </w:tc>
        <w:tc>
          <w:tcPr>
            <w:tcW w:w="3007" w:type="dxa"/>
          </w:tcPr>
          <w:p w:rsidR="00532B57" w:rsidRPr="009751FA" w:rsidRDefault="00532B57" w:rsidP="001F4E1F">
            <w:pPr>
              <w:spacing w:before="0" w:after="0"/>
              <w:ind w:left="0"/>
              <w:rPr>
                <w:b w:val="0"/>
                <w:color w:val="000000" w:themeColor="text1"/>
                <w:sz w:val="20"/>
                <w:szCs w:val="22"/>
              </w:rPr>
            </w:pPr>
            <w:r w:rsidRPr="009751FA">
              <w:rPr>
                <w:b w:val="0"/>
                <w:color w:val="000000" w:themeColor="text1"/>
                <w:sz w:val="20"/>
                <w:szCs w:val="22"/>
              </w:rPr>
              <w:t>Trio Suseno, S.Tp</w:t>
            </w:r>
          </w:p>
        </w:tc>
      </w:tr>
      <w:tr w:rsidR="00532B57" w:rsidRPr="009751FA" w:rsidTr="00532B57">
        <w:trPr>
          <w:trHeight w:val="1857"/>
        </w:trPr>
        <w:tc>
          <w:tcPr>
            <w:tcW w:w="1291" w:type="dxa"/>
          </w:tcPr>
          <w:p w:rsidR="00532B57" w:rsidRPr="009751FA" w:rsidRDefault="00532B57" w:rsidP="001F4E1F">
            <w:pPr>
              <w:pStyle w:val="ListParagraph"/>
              <w:spacing w:before="0" w:after="0"/>
              <w:ind w:left="0"/>
              <w:rPr>
                <w:b w:val="0"/>
                <w:color w:val="000000" w:themeColor="text1"/>
                <w:sz w:val="20"/>
                <w:szCs w:val="22"/>
                <w:lang w:val="id-ID"/>
              </w:rPr>
            </w:pPr>
            <w:r w:rsidRPr="009751FA">
              <w:rPr>
                <w:b w:val="0"/>
                <w:color w:val="000000" w:themeColor="text1"/>
                <w:sz w:val="20"/>
                <w:szCs w:val="22"/>
                <w:lang w:val="id-ID"/>
              </w:rPr>
              <w:t>Member</w:t>
            </w:r>
          </w:p>
        </w:tc>
        <w:tc>
          <w:tcPr>
            <w:tcW w:w="294" w:type="dxa"/>
          </w:tcPr>
          <w:p w:rsidR="00532B57" w:rsidRPr="009751FA" w:rsidRDefault="00532B57" w:rsidP="001F4E1F">
            <w:pPr>
              <w:spacing w:before="0" w:after="0"/>
              <w:rPr>
                <w:b w:val="0"/>
                <w:color w:val="000000" w:themeColor="text1"/>
                <w:sz w:val="20"/>
                <w:szCs w:val="22"/>
              </w:rPr>
            </w:pPr>
          </w:p>
        </w:tc>
        <w:tc>
          <w:tcPr>
            <w:tcW w:w="2776" w:type="dxa"/>
          </w:tcPr>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Irfan Iqbal</w:t>
            </w:r>
            <w:r w:rsidR="00304503">
              <w:rPr>
                <w:b w:val="0"/>
                <w:color w:val="000000" w:themeColor="text1"/>
                <w:sz w:val="20"/>
                <w:szCs w:val="22"/>
              </w:rPr>
              <w:t>, S.E.</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Mahdaleni, A. Md</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 xml:space="preserve">Pediyah Murniati, S.E </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Bungsudi</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M. Fatku Arifin</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Fariadi, A. Md</w:t>
            </w:r>
          </w:p>
          <w:p w:rsidR="00532B57" w:rsidRPr="009751FA" w:rsidRDefault="00532B57" w:rsidP="0098511B">
            <w:pPr>
              <w:pStyle w:val="ListParagraph"/>
              <w:numPr>
                <w:ilvl w:val="0"/>
                <w:numId w:val="9"/>
              </w:numPr>
              <w:spacing w:before="0" w:after="0"/>
              <w:ind w:left="258" w:hanging="258"/>
              <w:jc w:val="left"/>
              <w:rPr>
                <w:b w:val="0"/>
                <w:color w:val="000000" w:themeColor="text1"/>
                <w:sz w:val="20"/>
                <w:szCs w:val="22"/>
              </w:rPr>
            </w:pPr>
            <w:r w:rsidRPr="009751FA">
              <w:rPr>
                <w:b w:val="0"/>
                <w:color w:val="000000" w:themeColor="text1"/>
                <w:sz w:val="20"/>
                <w:szCs w:val="22"/>
              </w:rPr>
              <w:t>Ismail Puji Saputra, A. Md</w:t>
            </w:r>
          </w:p>
        </w:tc>
        <w:tc>
          <w:tcPr>
            <w:tcW w:w="283" w:type="dxa"/>
          </w:tcPr>
          <w:p w:rsidR="00532B57" w:rsidRPr="009751FA" w:rsidRDefault="00532B57" w:rsidP="001F4E1F">
            <w:pPr>
              <w:pStyle w:val="ListParagraph"/>
              <w:spacing w:before="0" w:after="0"/>
              <w:ind w:left="0"/>
              <w:rPr>
                <w:color w:val="000000" w:themeColor="text1"/>
                <w:sz w:val="20"/>
                <w:szCs w:val="22"/>
                <w:lang w:val="id-ID"/>
              </w:rPr>
            </w:pPr>
          </w:p>
        </w:tc>
        <w:tc>
          <w:tcPr>
            <w:tcW w:w="1433" w:type="dxa"/>
          </w:tcPr>
          <w:p w:rsidR="00532B57" w:rsidRPr="009751FA" w:rsidRDefault="00532B57" w:rsidP="001F4E1F">
            <w:pPr>
              <w:pStyle w:val="ListParagraph"/>
              <w:spacing w:before="0" w:after="0"/>
              <w:ind w:left="0"/>
              <w:rPr>
                <w:b w:val="0"/>
                <w:color w:val="000000" w:themeColor="text1"/>
                <w:sz w:val="20"/>
                <w:szCs w:val="22"/>
                <w:lang w:val="id-ID"/>
              </w:rPr>
            </w:pPr>
            <w:r w:rsidRPr="009751FA">
              <w:rPr>
                <w:b w:val="0"/>
                <w:color w:val="000000" w:themeColor="text1"/>
                <w:sz w:val="20"/>
                <w:szCs w:val="22"/>
                <w:lang w:val="id-ID"/>
              </w:rPr>
              <w:t>Member</w:t>
            </w:r>
          </w:p>
        </w:tc>
        <w:tc>
          <w:tcPr>
            <w:tcW w:w="294" w:type="dxa"/>
          </w:tcPr>
          <w:p w:rsidR="00532B57" w:rsidRPr="009751FA" w:rsidRDefault="00532B57" w:rsidP="001F4E1F">
            <w:pPr>
              <w:spacing w:before="0" w:after="0"/>
              <w:rPr>
                <w:b w:val="0"/>
                <w:color w:val="000000" w:themeColor="text1"/>
                <w:sz w:val="20"/>
                <w:szCs w:val="22"/>
              </w:rPr>
            </w:pPr>
          </w:p>
        </w:tc>
        <w:tc>
          <w:tcPr>
            <w:tcW w:w="3007" w:type="dxa"/>
          </w:tcPr>
          <w:p w:rsidR="00532B57" w:rsidRPr="009751FA" w:rsidRDefault="00532B57" w:rsidP="0098511B">
            <w:pPr>
              <w:pStyle w:val="ListParagraph"/>
              <w:numPr>
                <w:ilvl w:val="0"/>
                <w:numId w:val="8"/>
              </w:numPr>
              <w:spacing w:before="0" w:after="0"/>
              <w:ind w:left="409" w:hanging="409"/>
              <w:jc w:val="left"/>
              <w:rPr>
                <w:b w:val="0"/>
                <w:color w:val="000000" w:themeColor="text1"/>
                <w:sz w:val="20"/>
                <w:szCs w:val="22"/>
              </w:rPr>
            </w:pPr>
            <w:r w:rsidRPr="009751FA">
              <w:rPr>
                <w:b w:val="0"/>
                <w:color w:val="000000" w:themeColor="text1"/>
                <w:sz w:val="20"/>
                <w:szCs w:val="22"/>
              </w:rPr>
              <w:t>Nurjaman</w:t>
            </w:r>
          </w:p>
          <w:p w:rsidR="00532B57" w:rsidRPr="009751FA" w:rsidRDefault="00532B57" w:rsidP="0098511B">
            <w:pPr>
              <w:pStyle w:val="ListParagraph"/>
              <w:numPr>
                <w:ilvl w:val="0"/>
                <w:numId w:val="8"/>
              </w:numPr>
              <w:spacing w:before="0" w:after="0"/>
              <w:ind w:left="409" w:hanging="409"/>
              <w:jc w:val="left"/>
              <w:rPr>
                <w:b w:val="0"/>
                <w:color w:val="000000" w:themeColor="text1"/>
                <w:sz w:val="20"/>
                <w:szCs w:val="22"/>
              </w:rPr>
            </w:pPr>
            <w:r w:rsidRPr="009751FA">
              <w:rPr>
                <w:b w:val="0"/>
                <w:color w:val="000000" w:themeColor="text1"/>
                <w:sz w:val="20"/>
                <w:szCs w:val="22"/>
              </w:rPr>
              <w:t>Bayu Pramana Putra</w:t>
            </w:r>
          </w:p>
          <w:p w:rsidR="00532B57" w:rsidRPr="009751FA" w:rsidRDefault="00532B57" w:rsidP="0098511B">
            <w:pPr>
              <w:pStyle w:val="ListParagraph"/>
              <w:numPr>
                <w:ilvl w:val="0"/>
                <w:numId w:val="8"/>
              </w:numPr>
              <w:spacing w:before="0" w:after="0"/>
              <w:ind w:left="409" w:hanging="409"/>
              <w:jc w:val="left"/>
              <w:rPr>
                <w:b w:val="0"/>
                <w:color w:val="000000" w:themeColor="text1"/>
                <w:sz w:val="20"/>
                <w:szCs w:val="22"/>
              </w:rPr>
            </w:pPr>
            <w:r w:rsidRPr="009751FA">
              <w:rPr>
                <w:b w:val="0"/>
                <w:color w:val="000000" w:themeColor="text1"/>
                <w:sz w:val="20"/>
                <w:szCs w:val="22"/>
              </w:rPr>
              <w:t>Nuri Apriyanto</w:t>
            </w:r>
          </w:p>
          <w:p w:rsidR="00532B57" w:rsidRPr="009751FA" w:rsidRDefault="00532B57" w:rsidP="0098511B">
            <w:pPr>
              <w:pStyle w:val="ListParagraph"/>
              <w:numPr>
                <w:ilvl w:val="0"/>
                <w:numId w:val="8"/>
              </w:numPr>
              <w:spacing w:before="0" w:after="0"/>
              <w:ind w:left="409" w:hanging="409"/>
              <w:jc w:val="left"/>
              <w:rPr>
                <w:b w:val="0"/>
                <w:color w:val="000000" w:themeColor="text1"/>
                <w:sz w:val="20"/>
                <w:szCs w:val="22"/>
              </w:rPr>
            </w:pPr>
            <w:r w:rsidRPr="009751FA">
              <w:rPr>
                <w:b w:val="0"/>
                <w:color w:val="000000" w:themeColor="text1"/>
                <w:sz w:val="20"/>
                <w:szCs w:val="22"/>
              </w:rPr>
              <w:t xml:space="preserve">Erwan </w:t>
            </w:r>
          </w:p>
          <w:p w:rsidR="00532B57" w:rsidRPr="009751FA" w:rsidRDefault="00532B57" w:rsidP="0098511B">
            <w:pPr>
              <w:pStyle w:val="ListParagraph"/>
              <w:numPr>
                <w:ilvl w:val="0"/>
                <w:numId w:val="8"/>
              </w:numPr>
              <w:spacing w:before="0" w:after="0"/>
              <w:ind w:left="409" w:hanging="409"/>
              <w:jc w:val="left"/>
              <w:rPr>
                <w:b w:val="0"/>
                <w:color w:val="000000" w:themeColor="text1"/>
                <w:sz w:val="20"/>
                <w:szCs w:val="22"/>
              </w:rPr>
            </w:pPr>
            <w:r w:rsidRPr="009751FA">
              <w:rPr>
                <w:b w:val="0"/>
                <w:color w:val="000000" w:themeColor="text1"/>
                <w:sz w:val="20"/>
                <w:szCs w:val="22"/>
              </w:rPr>
              <w:t>Heri Kurniawan, S.E</w:t>
            </w:r>
          </w:p>
        </w:tc>
      </w:tr>
    </w:tbl>
    <w:p w:rsidR="008F12C3" w:rsidRPr="001E3C57" w:rsidRDefault="008F12C3" w:rsidP="001F4E1F">
      <w:pPr>
        <w:spacing w:before="0" w:after="0"/>
        <w:ind w:left="0"/>
        <w:contextualSpacing/>
        <w:rPr>
          <w:b/>
          <w:color w:val="000000" w:themeColor="text1"/>
          <w:sz w:val="2"/>
          <w:szCs w:val="34"/>
        </w:rPr>
      </w:pP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9"/>
        <w:gridCol w:w="294"/>
        <w:gridCol w:w="2818"/>
        <w:gridCol w:w="283"/>
        <w:gridCol w:w="4734"/>
      </w:tblGrid>
      <w:tr w:rsidR="00532B57" w:rsidRPr="009751FA" w:rsidTr="00532B57">
        <w:trPr>
          <w:trHeight w:val="260"/>
        </w:trPr>
        <w:tc>
          <w:tcPr>
            <w:tcW w:w="4361" w:type="dxa"/>
            <w:gridSpan w:val="3"/>
            <w:shd w:val="clear" w:color="auto" w:fill="000000" w:themeFill="text1"/>
          </w:tcPr>
          <w:p w:rsidR="00532B57" w:rsidRPr="009751FA" w:rsidRDefault="00532B57" w:rsidP="0098511B">
            <w:pPr>
              <w:pStyle w:val="ListParagraph"/>
              <w:numPr>
                <w:ilvl w:val="0"/>
                <w:numId w:val="11"/>
              </w:numPr>
              <w:spacing w:before="0" w:after="0"/>
              <w:ind w:left="360"/>
              <w:jc w:val="left"/>
              <w:rPr>
                <w:color w:val="FFFFFF" w:themeColor="background1"/>
                <w:sz w:val="20"/>
                <w:szCs w:val="22"/>
              </w:rPr>
            </w:pPr>
            <w:r w:rsidRPr="009751FA">
              <w:rPr>
                <w:color w:val="FFFFFF" w:themeColor="background1"/>
                <w:sz w:val="20"/>
                <w:lang w:val="id-ID"/>
              </w:rPr>
              <w:t>Liaison Officer</w:t>
            </w:r>
          </w:p>
        </w:tc>
        <w:tc>
          <w:tcPr>
            <w:tcW w:w="283" w:type="dxa"/>
            <w:shd w:val="clear" w:color="auto" w:fill="000000" w:themeFill="text1"/>
          </w:tcPr>
          <w:p w:rsidR="00532B57" w:rsidRPr="009751FA" w:rsidRDefault="00532B57" w:rsidP="001F4E1F">
            <w:pPr>
              <w:pStyle w:val="ListParagraph"/>
              <w:spacing w:before="0" w:after="0"/>
              <w:ind w:left="360"/>
              <w:jc w:val="left"/>
              <w:rPr>
                <w:color w:val="FFFFFF" w:themeColor="background1"/>
                <w:sz w:val="20"/>
                <w:szCs w:val="22"/>
              </w:rPr>
            </w:pPr>
          </w:p>
        </w:tc>
        <w:tc>
          <w:tcPr>
            <w:tcW w:w="4734" w:type="dxa"/>
            <w:shd w:val="clear" w:color="auto" w:fill="000000" w:themeFill="text1"/>
          </w:tcPr>
          <w:p w:rsidR="00532B57" w:rsidRPr="009751FA" w:rsidRDefault="00532B57" w:rsidP="001F4E1F">
            <w:pPr>
              <w:pStyle w:val="ListParagraph"/>
              <w:spacing w:before="0" w:after="0"/>
              <w:ind w:left="360"/>
              <w:jc w:val="left"/>
              <w:rPr>
                <w:color w:val="FFFFFF" w:themeColor="background1"/>
                <w:sz w:val="20"/>
                <w:szCs w:val="22"/>
              </w:rPr>
            </w:pPr>
          </w:p>
        </w:tc>
      </w:tr>
      <w:tr w:rsidR="00532B57" w:rsidRPr="009751FA" w:rsidTr="00532B57">
        <w:trPr>
          <w:trHeight w:val="1262"/>
        </w:trPr>
        <w:tc>
          <w:tcPr>
            <w:tcW w:w="1249" w:type="dxa"/>
          </w:tcPr>
          <w:p w:rsidR="00532B57" w:rsidRPr="009751FA" w:rsidRDefault="00532B57" w:rsidP="001F4E1F">
            <w:pPr>
              <w:pStyle w:val="ListParagraph"/>
              <w:spacing w:before="0" w:after="0"/>
              <w:ind w:left="360"/>
              <w:rPr>
                <w:b w:val="0"/>
                <w:color w:val="000000" w:themeColor="text1"/>
                <w:sz w:val="20"/>
                <w:szCs w:val="22"/>
              </w:rPr>
            </w:pPr>
          </w:p>
        </w:tc>
        <w:tc>
          <w:tcPr>
            <w:tcW w:w="294" w:type="dxa"/>
          </w:tcPr>
          <w:p w:rsidR="00532B57" w:rsidRPr="009751FA" w:rsidRDefault="00532B57" w:rsidP="001F4E1F">
            <w:pPr>
              <w:spacing w:before="0" w:after="0"/>
              <w:rPr>
                <w:b w:val="0"/>
                <w:color w:val="000000" w:themeColor="text1"/>
                <w:sz w:val="20"/>
                <w:szCs w:val="22"/>
              </w:rPr>
            </w:pPr>
          </w:p>
        </w:tc>
        <w:tc>
          <w:tcPr>
            <w:tcW w:w="2818" w:type="dxa"/>
          </w:tcPr>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Okta Mahendra</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Nanda Habib Firdaus</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Riris Harwiyati</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Jelita Nur Rohmah</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Ella Rusmiana</w:t>
            </w:r>
          </w:p>
        </w:tc>
        <w:tc>
          <w:tcPr>
            <w:tcW w:w="283" w:type="dxa"/>
          </w:tcPr>
          <w:p w:rsidR="00532B57" w:rsidRPr="00532B57" w:rsidRDefault="00532B57" w:rsidP="001F4E1F">
            <w:pPr>
              <w:spacing w:before="0" w:after="0"/>
              <w:ind w:left="300" w:hanging="266"/>
              <w:jc w:val="left"/>
              <w:rPr>
                <w:color w:val="000000" w:themeColor="text1"/>
                <w:sz w:val="20"/>
                <w:szCs w:val="22"/>
              </w:rPr>
            </w:pPr>
          </w:p>
        </w:tc>
        <w:tc>
          <w:tcPr>
            <w:tcW w:w="4734" w:type="dxa"/>
          </w:tcPr>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Fitri Nurul Hidayah</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Wulanda Purnami Yusanti</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Farihatul Hasna</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Ruqoyah</w:t>
            </w:r>
          </w:p>
          <w:p w:rsidR="00532B57" w:rsidRPr="009751FA" w:rsidRDefault="00532B57" w:rsidP="0098511B">
            <w:pPr>
              <w:pStyle w:val="ListParagraph"/>
              <w:numPr>
                <w:ilvl w:val="0"/>
                <w:numId w:val="10"/>
              </w:numPr>
              <w:spacing w:before="0" w:after="0"/>
              <w:ind w:left="300" w:hanging="266"/>
              <w:jc w:val="left"/>
              <w:rPr>
                <w:b w:val="0"/>
                <w:color w:val="000000" w:themeColor="text1"/>
                <w:sz w:val="20"/>
                <w:szCs w:val="22"/>
              </w:rPr>
            </w:pPr>
            <w:r w:rsidRPr="009751FA">
              <w:rPr>
                <w:b w:val="0"/>
                <w:color w:val="000000" w:themeColor="text1"/>
                <w:sz w:val="20"/>
                <w:szCs w:val="22"/>
              </w:rPr>
              <w:t>Tika Fatmawati</w:t>
            </w:r>
          </w:p>
        </w:tc>
      </w:tr>
    </w:tbl>
    <w:p w:rsidR="007059B1" w:rsidRDefault="007059B1" w:rsidP="001F4E1F">
      <w:pPr>
        <w:spacing w:before="0" w:after="0"/>
        <w:rPr>
          <w:rFonts w:eastAsiaTheme="majorEastAsia"/>
          <w:kern w:val="0"/>
        </w:rPr>
      </w:pPr>
    </w:p>
    <w:p w:rsidR="007059B1" w:rsidRDefault="007059B1">
      <w:pPr>
        <w:spacing w:before="0" w:after="200" w:line="276" w:lineRule="auto"/>
        <w:ind w:left="0"/>
        <w:jc w:val="left"/>
        <w:rPr>
          <w:rFonts w:eastAsiaTheme="majorEastAsia"/>
          <w:kern w:val="0"/>
        </w:rPr>
      </w:pPr>
      <w:r>
        <w:rPr>
          <w:rFonts w:eastAsiaTheme="majorEastAsia"/>
          <w:kern w:val="0"/>
        </w:rPr>
        <w:br w:type="page"/>
      </w:r>
    </w:p>
    <w:tbl>
      <w:tblPr>
        <w:tblW w:w="0" w:type="auto"/>
        <w:tblLook w:val="04A0"/>
      </w:tblPr>
      <w:tblGrid>
        <w:gridCol w:w="1242"/>
        <w:gridCol w:w="1134"/>
        <w:gridCol w:w="2352"/>
        <w:gridCol w:w="4514"/>
      </w:tblGrid>
      <w:tr w:rsidR="005D6B11" w:rsidRPr="00707471" w:rsidTr="003D0A78">
        <w:tc>
          <w:tcPr>
            <w:tcW w:w="1242" w:type="dxa"/>
            <w:vAlign w:val="center"/>
          </w:tcPr>
          <w:p w:rsidR="005D6B11" w:rsidRPr="00707471" w:rsidRDefault="005D6B11" w:rsidP="003D0A78">
            <w:pPr>
              <w:pStyle w:val="Default"/>
              <w:ind w:left="142" w:right="-69"/>
              <w:rPr>
                <w:color w:val="auto"/>
                <w:lang w:val="en-US"/>
              </w:rPr>
            </w:pPr>
            <w:r w:rsidRPr="00707471">
              <w:rPr>
                <w:noProof/>
                <w:color w:val="auto"/>
                <w:lang w:val="en-US"/>
              </w:rPr>
              <w:lastRenderedPageBreak/>
              <w:drawing>
                <wp:inline distT="0" distB="0" distL="0" distR="0">
                  <wp:extent cx="552450" cy="571500"/>
                  <wp:effectExtent l="19050" t="0" r="0" b="0"/>
                  <wp:docPr id="231"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9" cstate="print">
                            <a:clrChange>
                              <a:clrFrom>
                                <a:srgbClr val="FFFFFF"/>
                              </a:clrFrom>
                              <a:clrTo>
                                <a:srgbClr val="FFFFFF">
                                  <a:alpha val="0"/>
                                </a:srgbClr>
                              </a:clrTo>
                            </a:clrChange>
                          </a:blip>
                          <a:srcRect l="6290"/>
                          <a:stretch>
                            <a:fillRect/>
                          </a:stretch>
                        </pic:blipFill>
                        <pic:spPr bwMode="auto">
                          <a:xfrm>
                            <a:off x="0" y="0"/>
                            <a:ext cx="552450" cy="571500"/>
                          </a:xfrm>
                          <a:prstGeom prst="rect">
                            <a:avLst/>
                          </a:prstGeom>
                          <a:noFill/>
                          <a:ln w="9525">
                            <a:noFill/>
                            <a:miter lim="800000"/>
                            <a:headEnd/>
                            <a:tailEnd/>
                          </a:ln>
                        </pic:spPr>
                      </pic:pic>
                    </a:graphicData>
                  </a:graphic>
                </wp:inline>
              </w:drawing>
            </w:r>
          </w:p>
        </w:tc>
        <w:tc>
          <w:tcPr>
            <w:tcW w:w="1134" w:type="dxa"/>
            <w:vAlign w:val="center"/>
          </w:tcPr>
          <w:p w:rsidR="005D6B11" w:rsidRPr="00707471" w:rsidRDefault="005D6B11" w:rsidP="003D0A78">
            <w:pPr>
              <w:pStyle w:val="Default"/>
              <w:ind w:left="-147" w:right="33"/>
              <w:jc w:val="right"/>
              <w:rPr>
                <w:b/>
                <w:color w:val="auto"/>
                <w:lang w:val="en-US"/>
              </w:rPr>
            </w:pPr>
            <w:r w:rsidRPr="00707471">
              <w:rPr>
                <w:noProof/>
                <w:color w:val="auto"/>
                <w:kern w:val="36"/>
                <w:sz w:val="28"/>
                <w:szCs w:val="28"/>
                <w:lang w:val="en-US"/>
              </w:rPr>
              <w:drawing>
                <wp:inline distT="0" distB="0" distL="0" distR="0">
                  <wp:extent cx="504825" cy="504825"/>
                  <wp:effectExtent l="19050" t="0" r="9525" b="0"/>
                  <wp:docPr id="232" name="Picture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jpg"/>
                          <pic:cNvPicPr>
                            <a:picLocks noChangeAspect="1" noChangeArrowheads="1"/>
                          </pic:cNvPicPr>
                        </pic:nvPicPr>
                        <pic:blipFill>
                          <a:blip r:embed="rId10"/>
                          <a:srcRect/>
                          <a:stretch>
                            <a:fillRect/>
                          </a:stretch>
                        </pic:blipFill>
                        <pic:spPr bwMode="auto">
                          <a:xfrm>
                            <a:off x="0" y="0"/>
                            <a:ext cx="504825" cy="504825"/>
                          </a:xfrm>
                          <a:prstGeom prst="rect">
                            <a:avLst/>
                          </a:prstGeom>
                          <a:noFill/>
                          <a:ln w="9525">
                            <a:noFill/>
                            <a:miter lim="800000"/>
                            <a:headEnd/>
                            <a:tailEnd/>
                          </a:ln>
                        </pic:spPr>
                      </pic:pic>
                    </a:graphicData>
                  </a:graphic>
                </wp:inline>
              </w:drawing>
            </w:r>
          </w:p>
        </w:tc>
        <w:tc>
          <w:tcPr>
            <w:tcW w:w="2352" w:type="dxa"/>
          </w:tcPr>
          <w:p w:rsidR="005D6B11" w:rsidRPr="00707471" w:rsidRDefault="005D6B11" w:rsidP="003D0A78">
            <w:pPr>
              <w:pStyle w:val="Default"/>
              <w:ind w:left="-93" w:right="-141"/>
              <w:rPr>
                <w:b/>
                <w:color w:val="auto"/>
                <w:lang w:val="en-US"/>
              </w:rPr>
            </w:pPr>
          </w:p>
        </w:tc>
        <w:tc>
          <w:tcPr>
            <w:tcW w:w="4514" w:type="dxa"/>
          </w:tcPr>
          <w:p w:rsidR="005D6B11" w:rsidRPr="00707471" w:rsidRDefault="005D6B11" w:rsidP="003D0A78">
            <w:pPr>
              <w:pStyle w:val="Default"/>
              <w:rPr>
                <w:color w:val="auto"/>
                <w:sz w:val="14"/>
                <w:lang w:val="en-US"/>
              </w:rPr>
            </w:pPr>
          </w:p>
          <w:tbl>
            <w:tblPr>
              <w:tblW w:w="2930" w:type="dxa"/>
              <w:tblInd w:w="1368" w:type="dxa"/>
              <w:tblBorders>
                <w:top w:val="single" w:sz="4" w:space="0" w:color="auto"/>
                <w:bottom w:val="single" w:sz="4" w:space="0" w:color="auto"/>
              </w:tblBorders>
              <w:tblLook w:val="04A0"/>
            </w:tblPr>
            <w:tblGrid>
              <w:gridCol w:w="2930"/>
            </w:tblGrid>
            <w:tr w:rsidR="005D6B11" w:rsidRPr="00707471" w:rsidTr="003D0A78">
              <w:tc>
                <w:tcPr>
                  <w:tcW w:w="2930" w:type="dxa"/>
                  <w:tcBorders>
                    <w:top w:val="thickThinSmallGap" w:sz="24" w:space="0" w:color="auto"/>
                    <w:bottom w:val="thinThickSmallGap" w:sz="24" w:space="0" w:color="auto"/>
                  </w:tcBorders>
                </w:tcPr>
                <w:p w:rsidR="005D6B11" w:rsidRPr="00707471" w:rsidRDefault="005D6B11" w:rsidP="003D0A78">
                  <w:pPr>
                    <w:pStyle w:val="Default"/>
                    <w:rPr>
                      <w:color w:val="auto"/>
                      <w:sz w:val="4"/>
                      <w:szCs w:val="16"/>
                      <w:lang w:val="en-US"/>
                    </w:rPr>
                  </w:pPr>
                </w:p>
                <w:p w:rsidR="005D6B11" w:rsidRPr="00707471" w:rsidRDefault="00FC0F56" w:rsidP="003D0A78">
                  <w:pPr>
                    <w:pStyle w:val="Default"/>
                    <w:jc w:val="center"/>
                    <w:rPr>
                      <w:color w:val="auto"/>
                      <w:lang w:val="en-US"/>
                    </w:rPr>
                  </w:pPr>
                  <w:r>
                    <w:rPr>
                      <w:color w:val="auto"/>
                      <w:lang w:val="en-US"/>
                    </w:rPr>
                    <w:t>ISBN 978-602-74135-3-5</w:t>
                  </w:r>
                </w:p>
                <w:p w:rsidR="005D6B11" w:rsidRPr="00707471" w:rsidRDefault="005D6B11" w:rsidP="003D0A78">
                  <w:pPr>
                    <w:pStyle w:val="Default"/>
                    <w:rPr>
                      <w:color w:val="auto"/>
                      <w:sz w:val="4"/>
                      <w:szCs w:val="16"/>
                      <w:lang w:val="en-US"/>
                    </w:rPr>
                  </w:pPr>
                </w:p>
              </w:tc>
            </w:tr>
          </w:tbl>
          <w:p w:rsidR="005D6B11" w:rsidRPr="00707471" w:rsidRDefault="005D6B11" w:rsidP="003D0A78">
            <w:pPr>
              <w:pStyle w:val="Default"/>
              <w:rPr>
                <w:color w:val="auto"/>
                <w:lang w:val="en-US"/>
              </w:rPr>
            </w:pPr>
          </w:p>
        </w:tc>
      </w:tr>
    </w:tbl>
    <w:p w:rsidR="005D6B11" w:rsidRDefault="005D6B11" w:rsidP="005D6B11">
      <w:pPr>
        <w:pStyle w:val="TOCHeading"/>
        <w:spacing w:before="0" w:line="240" w:lineRule="auto"/>
        <w:jc w:val="center"/>
        <w:rPr>
          <w:rFonts w:ascii="Times New Roman" w:hAnsi="Times New Roman" w:cs="Times New Roman"/>
          <w:b w:val="0"/>
          <w:color w:val="auto"/>
          <w:sz w:val="34"/>
          <w:szCs w:val="34"/>
        </w:rPr>
      </w:pPr>
    </w:p>
    <w:p w:rsidR="005D6B11" w:rsidRPr="00707471" w:rsidRDefault="005D6B11" w:rsidP="005D6B11">
      <w:pPr>
        <w:pStyle w:val="TOCHeading"/>
        <w:spacing w:before="0" w:line="240" w:lineRule="auto"/>
        <w:jc w:val="center"/>
        <w:rPr>
          <w:rFonts w:ascii="Times New Roman" w:eastAsiaTheme="minorEastAsia" w:hAnsi="Times New Roman" w:cs="Times New Roman"/>
          <w:color w:val="auto"/>
          <w:kern w:val="24"/>
          <w:sz w:val="20"/>
          <w:szCs w:val="20"/>
        </w:rPr>
      </w:pPr>
      <w:r w:rsidRPr="00707471">
        <w:rPr>
          <w:rFonts w:ascii="Times New Roman" w:hAnsi="Times New Roman" w:cs="Times New Roman"/>
          <w:b w:val="0"/>
          <w:color w:val="auto"/>
          <w:sz w:val="34"/>
          <w:szCs w:val="34"/>
        </w:rPr>
        <w:t>Table of Contents</w:t>
      </w:r>
    </w:p>
    <w:p w:rsidR="005D6B11" w:rsidRDefault="005D6B11" w:rsidP="005D6B11">
      <w:pPr>
        <w:pStyle w:val="TOC1"/>
        <w:rPr>
          <w:lang w:val="en-US"/>
        </w:rPr>
      </w:pPr>
    </w:p>
    <w:p w:rsidR="005D6B11" w:rsidRPr="005D6B11" w:rsidRDefault="005D6B11" w:rsidP="005D6B11"/>
    <w:p w:rsidR="005D6B11" w:rsidRPr="008C68BA" w:rsidRDefault="005D6B11" w:rsidP="005D6B11">
      <w:pPr>
        <w:pStyle w:val="TOC1"/>
      </w:pPr>
      <w:r w:rsidRPr="00707471">
        <w:rPr>
          <w:lang w:val="en-US"/>
        </w:rPr>
        <w:t>Preface</w:t>
      </w:r>
      <w:r w:rsidRPr="00707471">
        <w:rPr>
          <w:lang w:val="en-US"/>
        </w:rPr>
        <w:ptab w:relativeTo="margin" w:alignment="right" w:leader="dot"/>
      </w:r>
      <w:r w:rsidRPr="00707471">
        <w:rPr>
          <w:lang w:val="en-US"/>
        </w:rPr>
        <w:t>i</w:t>
      </w:r>
      <w:r>
        <w:t>i</w:t>
      </w:r>
    </w:p>
    <w:p w:rsidR="005D6B11" w:rsidRPr="008C68BA" w:rsidRDefault="005D6B11" w:rsidP="005D6B11">
      <w:pPr>
        <w:spacing w:before="0" w:after="0"/>
        <w:ind w:left="0"/>
        <w:rPr>
          <w:sz w:val="20"/>
          <w:szCs w:val="20"/>
          <w:lang w:val="id-ID"/>
        </w:rPr>
      </w:pPr>
      <w:r w:rsidRPr="00707471">
        <w:rPr>
          <w:sz w:val="20"/>
          <w:szCs w:val="20"/>
        </w:rPr>
        <w:t>International Advisory Board</w:t>
      </w:r>
      <w:r w:rsidRPr="00707471">
        <w:rPr>
          <w:sz w:val="20"/>
          <w:szCs w:val="20"/>
        </w:rPr>
        <w:ptab w:relativeTo="margin" w:alignment="right" w:leader="dot"/>
      </w:r>
      <w:r w:rsidRPr="00707471">
        <w:rPr>
          <w:sz w:val="20"/>
          <w:szCs w:val="20"/>
        </w:rPr>
        <w:t>ii</w:t>
      </w:r>
      <w:r>
        <w:rPr>
          <w:sz w:val="20"/>
          <w:szCs w:val="20"/>
          <w:lang w:val="id-ID"/>
        </w:rPr>
        <w:t>i</w:t>
      </w:r>
    </w:p>
    <w:p w:rsidR="005D6B11" w:rsidRPr="008C68BA" w:rsidRDefault="005D6B11" w:rsidP="005D6B11">
      <w:pPr>
        <w:spacing w:before="0" w:after="0"/>
        <w:ind w:left="0"/>
        <w:rPr>
          <w:sz w:val="20"/>
          <w:szCs w:val="20"/>
          <w:lang w:val="id-ID"/>
        </w:rPr>
      </w:pPr>
      <w:r w:rsidRPr="00707471">
        <w:rPr>
          <w:sz w:val="20"/>
          <w:szCs w:val="20"/>
        </w:rPr>
        <w:t>Organizing Committee</w:t>
      </w:r>
      <w:r w:rsidRPr="00707471">
        <w:rPr>
          <w:sz w:val="20"/>
          <w:szCs w:val="20"/>
        </w:rPr>
        <w:ptab w:relativeTo="margin" w:alignment="right" w:leader="dot"/>
      </w:r>
      <w:r>
        <w:rPr>
          <w:sz w:val="20"/>
          <w:szCs w:val="20"/>
          <w:lang w:val="id-ID"/>
        </w:rPr>
        <w:t>iv</w:t>
      </w:r>
    </w:p>
    <w:p w:rsidR="005D6B11" w:rsidRPr="00707471" w:rsidRDefault="005D6B11" w:rsidP="005D6B11">
      <w:pPr>
        <w:spacing w:before="0" w:after="0"/>
        <w:ind w:left="0"/>
        <w:rPr>
          <w:sz w:val="20"/>
          <w:szCs w:val="20"/>
        </w:rPr>
      </w:pPr>
      <w:r w:rsidRPr="00707471">
        <w:rPr>
          <w:sz w:val="20"/>
          <w:szCs w:val="20"/>
        </w:rPr>
        <w:t>Table of Content</w:t>
      </w:r>
      <w:r w:rsidRPr="00707471">
        <w:rPr>
          <w:sz w:val="20"/>
          <w:szCs w:val="20"/>
        </w:rPr>
        <w:ptab w:relativeTo="margin" w:alignment="right" w:leader="dot"/>
      </w:r>
      <w:r w:rsidRPr="00707471">
        <w:rPr>
          <w:sz w:val="20"/>
          <w:szCs w:val="20"/>
        </w:rPr>
        <w:t>v</w:t>
      </w:r>
    </w:p>
    <w:p w:rsidR="005D6B11" w:rsidRPr="00707471" w:rsidRDefault="005D6B11" w:rsidP="005D6B11">
      <w:pPr>
        <w:spacing w:before="0" w:after="0"/>
        <w:ind w:left="0"/>
        <w:rPr>
          <w:b/>
          <w:sz w:val="20"/>
          <w:szCs w:val="20"/>
        </w:rPr>
      </w:pPr>
    </w:p>
    <w:p w:rsidR="005D6B11" w:rsidRPr="00707471" w:rsidRDefault="005D6B11" w:rsidP="005D6B11">
      <w:pPr>
        <w:spacing w:before="0" w:after="0"/>
        <w:ind w:left="0"/>
        <w:rPr>
          <w:b/>
          <w:sz w:val="20"/>
          <w:szCs w:val="20"/>
        </w:rPr>
      </w:pPr>
      <w:r w:rsidRPr="00707471">
        <w:rPr>
          <w:b/>
          <w:sz w:val="20"/>
          <w:szCs w:val="20"/>
        </w:rPr>
        <w:t>KEYNOTE SPEAKERS</w:t>
      </w:r>
    </w:p>
    <w:p w:rsidR="005D6B11" w:rsidRPr="00707471" w:rsidRDefault="005D6B11" w:rsidP="005D6B11">
      <w:pPr>
        <w:pStyle w:val="TOC3"/>
      </w:pPr>
      <w:r w:rsidRPr="00707471">
        <w:t>Law and Human Rights in ASEAN Countries: Challenges and Prospects ~ Nehaluddin Ahmad</w:t>
      </w:r>
      <w:r w:rsidRPr="00707471">
        <w:ptab w:relativeTo="margin" w:alignment="right" w:leader="dot"/>
      </w:r>
      <w:r w:rsidRPr="00707471">
        <w:t>1</w:t>
      </w:r>
    </w:p>
    <w:p w:rsidR="005D6B11" w:rsidRPr="00707471" w:rsidRDefault="005D6B11" w:rsidP="005D6B11">
      <w:pPr>
        <w:pStyle w:val="TOC3"/>
      </w:pPr>
      <w:r w:rsidRPr="00707471">
        <w:t>Challenges and Solutions of Higher Education Institutions in Asia in the Face of the ASEAN Economic Community (AEC)  ~ Ab. Halim bin Tamuri &amp; Norfaizah binti Othman</w:t>
      </w:r>
      <w:r w:rsidRPr="00707471">
        <w:ptab w:relativeTo="margin" w:alignment="right" w:leader="dot"/>
      </w:r>
      <w:r w:rsidRPr="00707471">
        <w:t>8</w:t>
      </w:r>
    </w:p>
    <w:p w:rsidR="005D6B11" w:rsidRPr="00707471" w:rsidRDefault="005D6B11" w:rsidP="005D6B11">
      <w:pPr>
        <w:pStyle w:val="TOC3"/>
      </w:pPr>
      <w:r w:rsidRPr="00707471">
        <w:rPr>
          <w:rtl/>
        </w:rPr>
        <w:t>توريث الوراثة النبوية أهم أعمال علماء الإسلام</w:t>
      </w:r>
      <w:r w:rsidRPr="00707471">
        <w:t xml:space="preserve"> ~ Ismail Lutfi </w:t>
      </w:r>
      <w:r w:rsidRPr="00707471">
        <w:ptab w:relativeTo="margin" w:alignment="right" w:leader="dot"/>
      </w:r>
      <w:r w:rsidRPr="00707471">
        <w:t>1</w:t>
      </w:r>
      <w:r>
        <w:t>4</w:t>
      </w:r>
    </w:p>
    <w:p w:rsidR="005D6B11" w:rsidRPr="00707471" w:rsidRDefault="005D6B11" w:rsidP="005D6B11">
      <w:pPr>
        <w:spacing w:before="0" w:after="0"/>
        <w:ind w:left="0"/>
        <w:rPr>
          <w:b/>
          <w:sz w:val="20"/>
          <w:szCs w:val="20"/>
        </w:rPr>
      </w:pPr>
    </w:p>
    <w:p w:rsidR="005D6B11" w:rsidRPr="006A6AF3" w:rsidRDefault="005D6B11" w:rsidP="005D6B11">
      <w:pPr>
        <w:spacing w:before="0" w:after="0"/>
        <w:ind w:left="0"/>
        <w:rPr>
          <w:b/>
          <w:sz w:val="20"/>
          <w:szCs w:val="20"/>
          <w:lang w:val="id-ID"/>
        </w:rPr>
      </w:pPr>
      <w:r w:rsidRPr="00707471">
        <w:rPr>
          <w:b/>
          <w:sz w:val="20"/>
          <w:szCs w:val="20"/>
        </w:rPr>
        <w:t>PAPER PRESENTERS</w:t>
      </w:r>
    </w:p>
    <w:p w:rsidR="005D6B11"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Pr>
          <w:sz w:val="20"/>
          <w:szCs w:val="20"/>
        </w:rPr>
        <w:t>t</w:t>
      </w:r>
      <w:r w:rsidRPr="00911A0A">
        <w:rPr>
          <w:sz w:val="20"/>
          <w:szCs w:val="20"/>
        </w:rPr>
        <w:t>eaching Method of Prophet Muhammad [PBUH] in The Study of For</w:t>
      </w:r>
      <w:r>
        <w:rPr>
          <w:sz w:val="20"/>
          <w:szCs w:val="20"/>
        </w:rPr>
        <w:t>ty Hadith of Nawawiyyah and Its</w:t>
      </w:r>
    </w:p>
    <w:p w:rsidR="005D6B11" w:rsidRPr="005D6B11" w:rsidRDefault="005D6B11" w:rsidP="005D6B11">
      <w:pPr>
        <w:tabs>
          <w:tab w:val="left" w:pos="392"/>
        </w:tabs>
        <w:autoSpaceDE w:val="0"/>
        <w:autoSpaceDN w:val="0"/>
        <w:adjustRightInd w:val="0"/>
        <w:spacing w:before="0" w:after="0"/>
        <w:ind w:left="0"/>
        <w:rPr>
          <w:sz w:val="20"/>
          <w:szCs w:val="20"/>
        </w:rPr>
      </w:pPr>
      <w:r>
        <w:rPr>
          <w:sz w:val="20"/>
          <w:szCs w:val="20"/>
        </w:rPr>
        <w:tab/>
      </w:r>
      <w:r w:rsidRPr="005D6B11">
        <w:rPr>
          <w:sz w:val="20"/>
          <w:szCs w:val="20"/>
        </w:rPr>
        <w:t>Relevance towards Modern Education ~ Saifuddin Amin</w:t>
      </w:r>
      <w:r w:rsidRPr="00911A0A">
        <w:ptab w:relativeTo="margin" w:alignment="right" w:leader="dot"/>
      </w:r>
      <w:r w:rsidRPr="005D6B11">
        <w:rPr>
          <w:sz w:val="20"/>
          <w:lang w:val="id-ID"/>
        </w:rPr>
        <w:t>17</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Asimilation of Madrasah to the Culture’s Community (Study of the Buginess Custom in South Sulawesi) ~ Ali Halidin</w:t>
      </w:r>
      <w:r w:rsidRPr="00911A0A">
        <w:rPr>
          <w:sz w:val="20"/>
        </w:rPr>
        <w:ptab w:relativeTo="margin" w:alignment="right" w:leader="dot"/>
      </w:r>
      <w:r>
        <w:rPr>
          <w:sz w:val="20"/>
          <w:lang w:val="id-ID"/>
        </w:rPr>
        <w:t>26</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Religious Pluralism: The Influence of Rationalism and Relativism on Muslim Scholars ~ M. Adib Fuadi Nuriz &amp; Jaffari Awang</w:t>
      </w:r>
      <w:r w:rsidRPr="00911A0A">
        <w:rPr>
          <w:sz w:val="20"/>
        </w:rPr>
        <w:ptab w:relativeTo="margin" w:alignment="right" w:leader="dot"/>
      </w:r>
      <w:r>
        <w:rPr>
          <w:sz w:val="20"/>
          <w:lang w:val="id-ID"/>
        </w:rPr>
        <w:t>31</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Implementation of Communicative Language Teaching in Teaching Process at English Education Study Program of West Sumatera Muhammadiyah University ~ Mezia Kemala Sari &amp; Dian Noviani Syafar</w:t>
      </w:r>
      <w:r w:rsidRPr="00911A0A">
        <w:rPr>
          <w:sz w:val="20"/>
        </w:rPr>
        <w:ptab w:relativeTo="margin" w:alignment="right" w:leader="dot"/>
      </w:r>
      <w:r>
        <w:rPr>
          <w:sz w:val="20"/>
          <w:lang w:val="id-ID"/>
        </w:rPr>
        <w:t>7</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Teaching With Mind Maps to Develop ESL And EFL Students’ Writing Skill ~ Nour A. Hernadi &amp; Pramugara R. Yana</w:t>
      </w:r>
      <w:r w:rsidRPr="00911A0A">
        <w:rPr>
          <w:sz w:val="20"/>
        </w:rPr>
        <w:ptab w:relativeTo="margin" w:alignment="right" w:leader="dot"/>
      </w:r>
      <w:r>
        <w:rPr>
          <w:sz w:val="20"/>
          <w:lang w:val="id-ID"/>
        </w:rPr>
        <w:t>46</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Educational Reconstructionism: Towards ASEAN Economic Community (AEC) ~ Sadam Fajar Shodiq</w:t>
      </w:r>
      <w:r w:rsidRPr="00911A0A">
        <w:rPr>
          <w:sz w:val="20"/>
        </w:rPr>
        <w:ptab w:relativeTo="margin" w:alignment="right" w:leader="do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Approach of CTL (Contextual Teaching And Learning) to Enhance the Skills of Writing a Personal Letter (Classroom Action Research in the Mi I'anatusshibyan Land Sareal, Bogor) ~ Siti Mufatiroh &amp; Hindun</w:t>
      </w:r>
      <w:r w:rsidRPr="00911A0A">
        <w:rPr>
          <w:sz w:val="20"/>
        </w:rPr>
        <w:ptab w:relativeTo="margin" w:alignment="right" w:leader="dot"/>
      </w:r>
      <w:r>
        <w:rPr>
          <w:sz w:val="20"/>
        </w:rPr>
        <w:t>49</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Babbling ~ Dewi Sartipa</w:t>
      </w:r>
      <w:r w:rsidRPr="00911A0A">
        <w:rPr>
          <w:sz w:val="20"/>
        </w:rPr>
        <w:ptab w:relativeTo="margin" w:alignment="right" w:leader="dot"/>
      </w:r>
      <w:r>
        <w:rPr>
          <w:sz w:val="20"/>
        </w:rPr>
        <w:t>52</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Role of Decision in order to Create Innovation in Education ~ Dety Mulyanti</w:t>
      </w:r>
      <w:r w:rsidRPr="00911A0A">
        <w:rPr>
          <w:sz w:val="20"/>
        </w:rPr>
        <w:ptab w:relativeTo="margin" w:alignment="right" w:leader="dot"/>
      </w:r>
      <w:r>
        <w:rPr>
          <w:sz w:val="20"/>
        </w:rPr>
        <w:t>55</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Relationship Between Kyai Managerial Competence, the Management based Islamic Boarding School (MBIBS), and the Educator’s Performance in Islamic Islamic Boarding School: Approach Concept ~ Muhammad Anggung Manumanoso Prasetyo</w:t>
      </w:r>
      <w:r w:rsidRPr="00911A0A">
        <w:rPr>
          <w:sz w:val="20"/>
        </w:rPr>
        <w:ptab w:relativeTo="margin" w:alignment="right" w:leader="dot"/>
      </w:r>
      <w:r>
        <w:rPr>
          <w:sz w:val="20"/>
        </w:rPr>
        <w:t>60</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Building Multilingual Children in Early Childhood (a Strategy to Improve Multilingual Ability for Children to Face ASEAN Economic Community) ~ Chusna Apriyanti</w:t>
      </w:r>
      <w:r w:rsidRPr="00911A0A">
        <w:rPr>
          <w:sz w:val="20"/>
        </w:rPr>
        <w:ptab w:relativeTo="margin" w:alignment="right" w:leader="dot"/>
      </w:r>
      <w:r>
        <w:rPr>
          <w:sz w:val="20"/>
        </w:rPr>
        <w:t>67</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Establishing Communication Intensive between the Professors and Students Web-Based Online ~ Arman Abdul Rohman</w:t>
      </w:r>
      <w:r w:rsidRPr="00911A0A">
        <w:rPr>
          <w:sz w:val="20"/>
        </w:rPr>
        <w:ptab w:relativeTo="margin" w:alignment="right" w:leader="dot"/>
      </w:r>
      <w:r>
        <w:rPr>
          <w:sz w:val="20"/>
        </w:rPr>
        <w:t>73</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Education of Aqeedah in Surah Alfateha and Its Implementation in Modern Education (Analysis of Thought Shaykh Al-Sa'di in His Tafseer) ~ Muh. Ubaidillah Al-Ghifary Slamet</w:t>
      </w:r>
      <w:r w:rsidRPr="00911A0A">
        <w:rPr>
          <w:sz w:val="20"/>
        </w:rPr>
        <w:ptab w:relativeTo="margin" w:alignment="right" w:leader="dot"/>
      </w:r>
      <w:r>
        <w:rPr>
          <w:sz w:val="20"/>
        </w:rPr>
        <w:t>79</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Development of RME Learning Module Based Local Wisdom in Cigugur Traditional Community ~ Uba Umbara</w:t>
      </w:r>
      <w:r w:rsidRPr="00911A0A">
        <w:rPr>
          <w:sz w:val="20"/>
        </w:rPr>
        <w:ptab w:relativeTo="margin" w:alignment="right" w:leader="dot"/>
      </w:r>
      <w:r>
        <w:rPr>
          <w:sz w:val="20"/>
        </w:rPr>
        <w:t>85</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Implementation of Talking Chips in Improving Students’ Speaking Ability ~ Agatha Kristi Pramudika Sari</w:t>
      </w:r>
      <w:r w:rsidRPr="00911A0A">
        <w:rPr>
          <w:sz w:val="20"/>
        </w:rPr>
        <w:ptab w:relativeTo="margin" w:alignment="right" w:leader="dot"/>
      </w:r>
      <w:r>
        <w:rPr>
          <w:sz w:val="20"/>
        </w:rPr>
        <w:t>92</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Improving Students’ Ability on Descriptive Writing through Picture ~ Irfan Fajrul Falah</w:t>
      </w:r>
      <w:r w:rsidRPr="00911A0A">
        <w:rPr>
          <w:sz w:val="20"/>
        </w:rPr>
        <w:ptab w:relativeTo="margin" w:alignment="right" w:leader="dot"/>
      </w:r>
      <w:r w:rsidR="005703F0">
        <w:rPr>
          <w:sz w:val="20"/>
        </w:rPr>
        <w:t>96</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Institutions and Educational System: Instrument of Emancipation, Cultural Diffusion, and Innovation on Net-Generation ~ Tomi Setiawan</w:t>
      </w:r>
      <w:r w:rsidRPr="00911A0A">
        <w:rPr>
          <w:sz w:val="20"/>
        </w:rPr>
        <w:ptab w:relativeTo="margin" w:alignment="right" w:leader="dot"/>
      </w:r>
      <w:r>
        <w:rPr>
          <w:sz w:val="20"/>
        </w:rPr>
        <w:t>96</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Readiness of Business Administration Students Towards ASEAN Economic Community: An Empirical Study from IMABI Congress Stakeholders ~ Cut Irna Setiawati &amp; Titin Rini Kartini</w:t>
      </w:r>
      <w:r w:rsidRPr="00911A0A">
        <w:rPr>
          <w:sz w:val="20"/>
        </w:rPr>
        <w:ptab w:relativeTo="margin" w:alignment="right" w:leader="dot"/>
      </w:r>
      <w:r>
        <w:rPr>
          <w:sz w:val="20"/>
        </w:rPr>
        <w:t>102</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The Effect of Guided Inquiry Learning Model towards Students’ Understanding in Mathematical Ability and Students’ Self Confidence ~ Sri Yulianti</w:t>
      </w:r>
      <w:r w:rsidRPr="00911A0A">
        <w:rPr>
          <w:sz w:val="20"/>
        </w:rPr>
        <w:ptab w:relativeTo="margin" w:alignment="right" w:leader="dot"/>
      </w:r>
      <w:r>
        <w:rPr>
          <w:sz w:val="20"/>
        </w:rPr>
        <w:t>111</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lastRenderedPageBreak/>
        <w:t>Career Readiness to Be Islamic Teachers on University Students towards ASEAN Economic Community (AEC) ~ Ratna Sari</w:t>
      </w:r>
      <w:r w:rsidRPr="00911A0A">
        <w:rPr>
          <w:sz w:val="20"/>
        </w:rPr>
        <w:ptab w:relativeTo="margin" w:alignment="right" w:leader="dot"/>
      </w:r>
      <w:r>
        <w:rPr>
          <w:sz w:val="20"/>
        </w:rPr>
        <w:t>116</w:t>
      </w:r>
    </w:p>
    <w:p w:rsidR="005D6B11" w:rsidRPr="00911A0A"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Caring for the Excellence of Pesantren; The Contribution of Islamic Education Curriculum in Globalization ~ Naufal Ahmad Rijalul Alam</w:t>
      </w:r>
      <w:r w:rsidRPr="00911A0A">
        <w:rPr>
          <w:sz w:val="20"/>
        </w:rPr>
        <w:ptab w:relativeTo="margin" w:alignment="right" w:leader="dot"/>
      </w:r>
      <w:r>
        <w:rPr>
          <w:sz w:val="20"/>
        </w:rPr>
        <w:t>122</w:t>
      </w:r>
    </w:p>
    <w:p w:rsidR="005D6B11" w:rsidRPr="005D6B11" w:rsidRDefault="005D6B11" w:rsidP="0098511B">
      <w:pPr>
        <w:pStyle w:val="ListParagraph"/>
        <w:numPr>
          <w:ilvl w:val="0"/>
          <w:numId w:val="12"/>
        </w:numPr>
        <w:tabs>
          <w:tab w:val="left" w:pos="392"/>
        </w:tabs>
        <w:autoSpaceDE w:val="0"/>
        <w:autoSpaceDN w:val="0"/>
        <w:adjustRightInd w:val="0"/>
        <w:spacing w:before="0" w:after="0"/>
        <w:ind w:left="420" w:hanging="420"/>
        <w:rPr>
          <w:sz w:val="20"/>
          <w:szCs w:val="20"/>
        </w:rPr>
      </w:pPr>
      <w:r w:rsidRPr="00911A0A">
        <w:rPr>
          <w:sz w:val="20"/>
          <w:szCs w:val="20"/>
        </w:rPr>
        <w:t>Analysis of Originality First Tafsir in Nusantara (Studies of Turjuman Al-Mustafid of 'Abd Al-Ra'uf Singkel) ~ Muhajirin &amp; Muhammad Amin</w:t>
      </w:r>
      <w:r w:rsidRPr="00911A0A">
        <w:rPr>
          <w:sz w:val="20"/>
        </w:rPr>
        <w:ptab w:relativeTo="margin" w:alignment="right" w:leader="dot"/>
      </w:r>
      <w:r>
        <w:rPr>
          <w:sz w:val="20"/>
        </w:rPr>
        <w:t>127</w:t>
      </w:r>
    </w:p>
    <w:p w:rsidR="005F4D13" w:rsidRDefault="005D6B11">
      <w:pPr>
        <w:spacing w:before="0" w:after="200" w:line="276" w:lineRule="auto"/>
        <w:ind w:left="0"/>
        <w:jc w:val="left"/>
        <w:rPr>
          <w:sz w:val="20"/>
        </w:rPr>
        <w:sectPr w:rsidR="005F4D13" w:rsidSect="00304503">
          <w:headerReference w:type="even" r:id="rId12"/>
          <w:headerReference w:type="default" r:id="rId13"/>
          <w:footerReference w:type="even" r:id="rId14"/>
          <w:footerReference w:type="default" r:id="rId15"/>
          <w:headerReference w:type="first" r:id="rId16"/>
          <w:footerReference w:type="first" r:id="rId17"/>
          <w:footnotePr>
            <w:numRestart w:val="eachPage"/>
          </w:footnotePr>
          <w:pgSz w:w="11906" w:h="16838" w:code="9"/>
          <w:pgMar w:top="1440" w:right="1440" w:bottom="851" w:left="1440" w:header="851" w:footer="703" w:gutter="0"/>
          <w:pgNumType w:fmt="lowerRoman" w:start="1"/>
          <w:cols w:space="708"/>
          <w:titlePg/>
          <w:docGrid w:linePitch="360"/>
        </w:sectPr>
      </w:pPr>
      <w:r>
        <w:rPr>
          <w:sz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42"/>
        <w:gridCol w:w="1134"/>
        <w:gridCol w:w="2352"/>
        <w:gridCol w:w="4514"/>
      </w:tblGrid>
      <w:tr w:rsidR="005D6B11" w:rsidTr="003D0A78">
        <w:tc>
          <w:tcPr>
            <w:tcW w:w="1242" w:type="dxa"/>
            <w:vAlign w:val="center"/>
          </w:tcPr>
          <w:p w:rsidR="005D6B11" w:rsidRDefault="005D6B11" w:rsidP="003D0A78">
            <w:pPr>
              <w:pStyle w:val="Default"/>
              <w:ind w:left="142" w:right="-69"/>
            </w:pPr>
            <w:r>
              <w:rPr>
                <w:noProof/>
              </w:rPr>
              <w:lastRenderedPageBreak/>
              <w:drawing>
                <wp:inline distT="0" distB="0" distL="0" distR="0">
                  <wp:extent cx="555730" cy="576000"/>
                  <wp:effectExtent l="19050" t="0" r="0" b="0"/>
                  <wp:docPr id="233" name="Picture 6"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1.png"/>
                          <pic:cNvPicPr>
                            <a:picLocks noChangeAspect="1" noChangeArrowheads="1"/>
                          </pic:cNvPicPr>
                        </pic:nvPicPr>
                        <pic:blipFill>
                          <a:blip r:embed="rId18" cstate="print">
                            <a:clrChange>
                              <a:clrFrom>
                                <a:srgbClr val="FFFFFF"/>
                              </a:clrFrom>
                              <a:clrTo>
                                <a:srgbClr val="FFFFFF">
                                  <a:alpha val="0"/>
                                </a:srgbClr>
                              </a:clrTo>
                            </a:clrChange>
                          </a:blip>
                          <a:srcRect l="6290"/>
                          <a:stretch>
                            <a:fillRect/>
                          </a:stretch>
                        </pic:blipFill>
                        <pic:spPr bwMode="auto">
                          <a:xfrm>
                            <a:off x="0" y="0"/>
                            <a:ext cx="555730" cy="576000"/>
                          </a:xfrm>
                          <a:prstGeom prst="rect">
                            <a:avLst/>
                          </a:prstGeom>
                          <a:noFill/>
                          <a:ln w="9525">
                            <a:noFill/>
                            <a:miter lim="800000"/>
                            <a:headEnd/>
                            <a:tailEnd/>
                          </a:ln>
                        </pic:spPr>
                      </pic:pic>
                    </a:graphicData>
                  </a:graphic>
                </wp:inline>
              </w:drawing>
            </w:r>
          </w:p>
        </w:tc>
        <w:tc>
          <w:tcPr>
            <w:tcW w:w="1134" w:type="dxa"/>
            <w:vAlign w:val="center"/>
          </w:tcPr>
          <w:p w:rsidR="005D6B11" w:rsidRDefault="005D6B11" w:rsidP="003D0A78">
            <w:pPr>
              <w:pStyle w:val="Default"/>
              <w:ind w:left="-147" w:right="33"/>
              <w:jc w:val="right"/>
              <w:rPr>
                <w:b w:val="0"/>
              </w:rPr>
            </w:pPr>
            <w:r>
              <w:rPr>
                <w:rFonts w:ascii="Trebuchet MS" w:hAnsi="Trebuchet MS"/>
                <w:noProof/>
                <w:kern w:val="36"/>
                <w:sz w:val="28"/>
                <w:szCs w:val="28"/>
              </w:rPr>
              <w:drawing>
                <wp:inline distT="0" distB="0" distL="0" distR="0">
                  <wp:extent cx="506696" cy="504000"/>
                  <wp:effectExtent l="19050" t="0" r="7654" b="0"/>
                  <wp:docPr id="234" name="Picture 1"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1.jpg"/>
                          <pic:cNvPicPr>
                            <a:picLocks noChangeAspect="1" noChangeArrowheads="1"/>
                          </pic:cNvPicPr>
                        </pic:nvPicPr>
                        <pic:blipFill>
                          <a:blip r:embed="rId10" cstate="print"/>
                          <a:srcRect/>
                          <a:stretch>
                            <a:fillRect/>
                          </a:stretch>
                        </pic:blipFill>
                        <pic:spPr bwMode="auto">
                          <a:xfrm>
                            <a:off x="0" y="0"/>
                            <a:ext cx="506696" cy="504000"/>
                          </a:xfrm>
                          <a:prstGeom prst="rect">
                            <a:avLst/>
                          </a:prstGeom>
                          <a:noFill/>
                          <a:ln w="9525">
                            <a:noFill/>
                            <a:miter lim="800000"/>
                            <a:headEnd/>
                            <a:tailEnd/>
                          </a:ln>
                        </pic:spPr>
                      </pic:pic>
                    </a:graphicData>
                  </a:graphic>
                </wp:inline>
              </w:drawing>
            </w:r>
          </w:p>
        </w:tc>
        <w:tc>
          <w:tcPr>
            <w:tcW w:w="2352" w:type="dxa"/>
          </w:tcPr>
          <w:p w:rsidR="005D6B11" w:rsidRPr="0050239A" w:rsidRDefault="005D6B11" w:rsidP="003D0A78">
            <w:pPr>
              <w:pStyle w:val="Default"/>
              <w:ind w:left="-93" w:right="-141"/>
              <w:rPr>
                <w:b w:val="0"/>
                <w:lang w:val="id-ID"/>
              </w:rPr>
            </w:pPr>
          </w:p>
        </w:tc>
        <w:tc>
          <w:tcPr>
            <w:tcW w:w="4514" w:type="dxa"/>
          </w:tcPr>
          <w:p w:rsidR="005D6B11" w:rsidRPr="004164B3" w:rsidRDefault="005D6B11" w:rsidP="003D0A78">
            <w:pPr>
              <w:pStyle w:val="Default"/>
              <w:rPr>
                <w:sz w:val="14"/>
                <w:lang w:val="id-ID"/>
              </w:rPr>
            </w:pPr>
          </w:p>
          <w:tbl>
            <w:tblPr>
              <w:tblStyle w:val="TableGrid"/>
              <w:tblW w:w="2930" w:type="dxa"/>
              <w:tblInd w:w="1368" w:type="dxa"/>
              <w:tblBorders>
                <w:left w:val="none" w:sz="0" w:space="0" w:color="auto"/>
                <w:right w:val="none" w:sz="0" w:space="0" w:color="auto"/>
                <w:insideH w:val="none" w:sz="0" w:space="0" w:color="auto"/>
                <w:insideV w:val="none" w:sz="0" w:space="0" w:color="auto"/>
              </w:tblBorders>
              <w:tblLook w:val="04A0"/>
            </w:tblPr>
            <w:tblGrid>
              <w:gridCol w:w="2930"/>
            </w:tblGrid>
            <w:tr w:rsidR="005D6B11" w:rsidTr="003D0A78">
              <w:tc>
                <w:tcPr>
                  <w:tcW w:w="2930" w:type="dxa"/>
                  <w:tcBorders>
                    <w:top w:val="thickThinSmallGap" w:sz="24" w:space="0" w:color="auto"/>
                    <w:bottom w:val="thinThickSmallGap" w:sz="24" w:space="0" w:color="auto"/>
                  </w:tcBorders>
                </w:tcPr>
                <w:p w:rsidR="005D6B11" w:rsidRPr="004164B3" w:rsidRDefault="005D6B11" w:rsidP="003D0A78">
                  <w:pPr>
                    <w:pStyle w:val="Default"/>
                    <w:rPr>
                      <w:sz w:val="4"/>
                      <w:szCs w:val="16"/>
                      <w:lang w:val="id-ID"/>
                    </w:rPr>
                  </w:pPr>
                </w:p>
                <w:p w:rsidR="005D6B11" w:rsidRDefault="00FC0F56" w:rsidP="003D0A78">
                  <w:pPr>
                    <w:pStyle w:val="Default"/>
                    <w:jc w:val="center"/>
                    <w:rPr>
                      <w:lang w:val="id-ID"/>
                    </w:rPr>
                  </w:pPr>
                  <w:r>
                    <w:rPr>
                      <w:lang w:val="id-ID"/>
                    </w:rPr>
                    <w:t>ISBN 978-602-74135-3-5</w:t>
                  </w:r>
                </w:p>
                <w:p w:rsidR="005D6B11" w:rsidRPr="004164B3" w:rsidRDefault="005D6B11" w:rsidP="003D0A78">
                  <w:pPr>
                    <w:pStyle w:val="Default"/>
                    <w:rPr>
                      <w:sz w:val="4"/>
                      <w:szCs w:val="16"/>
                      <w:lang w:val="id-ID"/>
                    </w:rPr>
                  </w:pPr>
                </w:p>
              </w:tc>
            </w:tr>
          </w:tbl>
          <w:p w:rsidR="005D6B11" w:rsidRPr="00E738CA" w:rsidRDefault="005D6B11" w:rsidP="003D0A78">
            <w:pPr>
              <w:pStyle w:val="Default"/>
              <w:rPr>
                <w:lang w:val="id-ID"/>
              </w:rPr>
            </w:pPr>
          </w:p>
        </w:tc>
      </w:tr>
    </w:tbl>
    <w:p w:rsidR="005D6B11" w:rsidRPr="005F4A25" w:rsidRDefault="005D6B11" w:rsidP="005D6B11">
      <w:pPr>
        <w:spacing w:after="0"/>
        <w:jc w:val="center"/>
        <w:rPr>
          <w:sz w:val="34"/>
          <w:szCs w:val="34"/>
        </w:rPr>
      </w:pPr>
      <w:r>
        <w:rPr>
          <w:sz w:val="34"/>
          <w:szCs w:val="34"/>
        </w:rPr>
        <w:t>Analysis of Originality First Tafsir i</w:t>
      </w:r>
      <w:r w:rsidRPr="005F4A25">
        <w:rPr>
          <w:sz w:val="34"/>
          <w:szCs w:val="34"/>
        </w:rPr>
        <w:t xml:space="preserve">n Nusantara </w:t>
      </w:r>
      <w:r>
        <w:rPr>
          <w:sz w:val="34"/>
          <w:szCs w:val="34"/>
        </w:rPr>
        <w:t>(Studies o</w:t>
      </w:r>
      <w:r w:rsidRPr="005F4A25">
        <w:rPr>
          <w:sz w:val="34"/>
          <w:szCs w:val="34"/>
        </w:rPr>
        <w:t xml:space="preserve">f </w:t>
      </w:r>
      <w:r w:rsidRPr="005F4A25">
        <w:rPr>
          <w:i/>
          <w:iCs/>
          <w:sz w:val="34"/>
          <w:szCs w:val="34"/>
        </w:rPr>
        <w:t xml:space="preserve">Turjuman Al-Mustafid </w:t>
      </w:r>
      <w:r>
        <w:rPr>
          <w:sz w:val="34"/>
          <w:szCs w:val="34"/>
        </w:rPr>
        <w:t>o</w:t>
      </w:r>
      <w:r w:rsidRPr="005F4A25">
        <w:rPr>
          <w:sz w:val="34"/>
          <w:szCs w:val="34"/>
        </w:rPr>
        <w:t>f 'Abd Al-Ra'uf Singkel)</w:t>
      </w:r>
    </w:p>
    <w:p w:rsidR="005F4D13" w:rsidRDefault="005D6B11" w:rsidP="005D6B11">
      <w:pPr>
        <w:pStyle w:val="NoSpacing"/>
        <w:jc w:val="center"/>
        <w:rPr>
          <w:rFonts w:ascii="Times New Roman" w:hAnsi="Times New Roman" w:cs="Times New Roman"/>
          <w:sz w:val="26"/>
          <w:szCs w:val="26"/>
          <w:lang w:val="en-US"/>
        </w:rPr>
      </w:pPr>
      <w:r w:rsidRPr="00A521EA">
        <w:rPr>
          <w:rFonts w:ascii="Times New Roman" w:hAnsi="Times New Roman" w:cs="Times New Roman"/>
          <w:sz w:val="26"/>
          <w:szCs w:val="26"/>
          <w:lang w:val="en-US"/>
        </w:rPr>
        <w:t>Muhajirin</w:t>
      </w:r>
      <w:r w:rsidR="00304503">
        <w:rPr>
          <w:rFonts w:ascii="Times New Roman" w:hAnsi="Times New Roman" w:cs="Times New Roman"/>
          <w:sz w:val="26"/>
          <w:szCs w:val="26"/>
          <w:lang w:val="en-US"/>
        </w:rPr>
        <w:t>*</w:t>
      </w:r>
      <w:r w:rsidR="00304503">
        <w:rPr>
          <w:rStyle w:val="FootnoteReference"/>
          <w:rFonts w:ascii="Times New Roman" w:hAnsi="Times New Roman" w:cs="Times New Roman"/>
          <w:sz w:val="26"/>
          <w:szCs w:val="26"/>
          <w:lang w:val="en-US"/>
        </w:rPr>
        <w:footnoteReference w:id="2"/>
      </w:r>
      <w:r w:rsidR="00304503">
        <w:rPr>
          <w:rFonts w:ascii="Times New Roman" w:hAnsi="Times New Roman" w:cs="Times New Roman"/>
          <w:sz w:val="26"/>
          <w:szCs w:val="26"/>
          <w:lang w:val="en-US"/>
        </w:rPr>
        <w:t>, Muhammad Amin</w:t>
      </w:r>
      <w:r w:rsidR="00304503">
        <w:rPr>
          <w:rStyle w:val="FootnoteReference"/>
          <w:rFonts w:ascii="Times New Roman" w:hAnsi="Times New Roman" w:cs="Times New Roman"/>
          <w:sz w:val="26"/>
          <w:szCs w:val="26"/>
          <w:lang w:val="en-US"/>
        </w:rPr>
        <w:footnoteReference w:id="3"/>
      </w:r>
    </w:p>
    <w:p w:rsidR="005D6B11" w:rsidRPr="00A521EA" w:rsidRDefault="005D6B11" w:rsidP="005D6B11">
      <w:pPr>
        <w:pStyle w:val="NoSpacing"/>
        <w:jc w:val="center"/>
        <w:rPr>
          <w:rFonts w:ascii="Times New Roman" w:hAnsi="Times New Roman" w:cs="Times New Roman"/>
          <w:sz w:val="16"/>
          <w:szCs w:val="16"/>
          <w:lang w:val="en-US"/>
        </w:rPr>
      </w:pPr>
      <w:r w:rsidRPr="00A521EA">
        <w:rPr>
          <w:rFonts w:ascii="Times New Roman" w:hAnsi="Times New Roman" w:cs="Times New Roman"/>
          <w:sz w:val="16"/>
          <w:szCs w:val="16"/>
        </w:rPr>
        <w:t>STATE ISLAMIC UNIVERSITY OF RADEN FATAH PALEMBANG</w:t>
      </w:r>
    </w:p>
    <w:p w:rsidR="005D6B11" w:rsidRPr="006C14A3" w:rsidRDefault="00C10BA2" w:rsidP="005D6B11">
      <w:pPr>
        <w:spacing w:before="0" w:after="0"/>
        <w:ind w:left="0"/>
        <w:jc w:val="left"/>
        <w:rPr>
          <w:iCs/>
          <w:sz w:val="16"/>
          <w:szCs w:val="16"/>
        </w:rPr>
      </w:pPr>
      <w:r w:rsidRPr="00C10BA2">
        <w:rPr>
          <w:iCs/>
          <w:noProof/>
          <w:sz w:val="16"/>
          <w:szCs w:val="16"/>
          <w:lang w:val="id-ID" w:eastAsia="id-ID"/>
        </w:rPr>
        <w:pict>
          <v:group id="_x0000_s1910" style="position:absolute;margin-left:0;margin-top:6.5pt;width:451.5pt;height:113.7pt;z-index:251932672" coordorigin="1440,3736" coordsize="9030,2530">
            <v:shapetype id="_x0000_t32" coordsize="21600,21600" o:spt="32" o:oned="t" path="m,l21600,21600e" filled="f">
              <v:path arrowok="t" fillok="f" o:connecttype="none"/>
              <o:lock v:ext="edit" shapetype="t"/>
            </v:shapetype>
            <v:shape id="_x0000_s1911" type="#_x0000_t32" style="position:absolute;left:1440;top:6266;width:9030;height:0" o:connectortype="straight"/>
            <v:shape id="_x0000_s1912" type="#_x0000_t32" style="position:absolute;left:1440;top:3736;width:9030;height:0" o:connectortype="straight"/>
          </v:group>
        </w:pict>
      </w:r>
    </w:p>
    <w:p w:rsidR="005D6B11" w:rsidRPr="0041261C" w:rsidRDefault="005D6B11" w:rsidP="005D6B11">
      <w:pPr>
        <w:spacing w:before="0" w:after="0"/>
        <w:ind w:left="0"/>
        <w:jc w:val="left"/>
        <w:rPr>
          <w:b/>
          <w:iCs/>
          <w:sz w:val="18"/>
          <w:szCs w:val="16"/>
        </w:rPr>
      </w:pPr>
      <w:r w:rsidRPr="006C14A3">
        <w:rPr>
          <w:b/>
          <w:iCs/>
          <w:sz w:val="18"/>
          <w:szCs w:val="16"/>
        </w:rPr>
        <w:t>Abstract</w:t>
      </w:r>
    </w:p>
    <w:p w:rsidR="005D6B11" w:rsidRPr="00DD4E1D" w:rsidRDefault="005D6B11" w:rsidP="005D6B11">
      <w:pPr>
        <w:spacing w:after="0"/>
        <w:ind w:left="0"/>
        <w:rPr>
          <w:i/>
          <w:iCs/>
          <w:sz w:val="16"/>
          <w:szCs w:val="16"/>
        </w:rPr>
      </w:pPr>
      <w:r w:rsidRPr="00DD4E1D">
        <w:rPr>
          <w:i/>
          <w:iCs/>
          <w:sz w:val="16"/>
          <w:szCs w:val="16"/>
        </w:rPr>
        <w:t>Turjuman al-Mustafid 'considered' as the first tafsir book written in full 30 Juzz in the Malay Nusantara. Researchers who have conducted a study of this book gives a different opinion about the source of the writing of the book. This article is an attempt to trace back the originality of Kitab Turjuman al-Mustafid and determining the position of 'Abd al-Ra'uf Singkel and Daud al-Rumi in the the writing of the book of al-Mustafid Turjuman. Step of this research consists of two parts. First, compare the information from Daud al-Rumi in the colophon of the book with the systematic and method of exegesis. Second, conduct a study on the status of women in the book of al-Mustafid Turjuman with comparative method, ie comparison with the book of al-Baidhawi and al-Jalalayn is alleged to be a referral source of this tafsir. After the assessment, the authors concluded that al-Mustafid Turjuman’s book is the work of adaptation (tarjamah tafsiriyyah) 'Abd al-Ra'uf of Tafseer   al-Jalalayn, while other parts are contain of benefit and narration/Qisshah as an addition of David      al-Rumi</w:t>
      </w:r>
    </w:p>
    <w:p w:rsidR="005D6B11" w:rsidRDefault="005D6B11" w:rsidP="005D6B11">
      <w:pPr>
        <w:spacing w:after="0"/>
        <w:ind w:left="0"/>
        <w:rPr>
          <w:i/>
          <w:iCs/>
          <w:sz w:val="16"/>
          <w:szCs w:val="16"/>
        </w:rPr>
      </w:pPr>
      <w:r w:rsidRPr="00DD4E1D">
        <w:rPr>
          <w:i/>
          <w:iCs/>
          <w:sz w:val="16"/>
          <w:szCs w:val="16"/>
        </w:rPr>
        <w:t xml:space="preserve">Keywords: </w:t>
      </w:r>
      <w:r w:rsidRPr="00DD4E1D">
        <w:rPr>
          <w:sz w:val="16"/>
          <w:szCs w:val="16"/>
        </w:rPr>
        <w:t xml:space="preserve">‘Abd al-Ra’uf, Daud al-Rumi, </w:t>
      </w:r>
      <w:r w:rsidRPr="00DD4E1D">
        <w:rPr>
          <w:i/>
          <w:iCs/>
          <w:sz w:val="16"/>
          <w:szCs w:val="16"/>
        </w:rPr>
        <w:t>Tafsir Turjuman al-Mustafid, Tafsir Jalalain, Tafsir al-Baidhawi</w:t>
      </w:r>
    </w:p>
    <w:p w:rsidR="005D6B11" w:rsidRPr="003C0E92" w:rsidRDefault="005D6B11" w:rsidP="005D6B11">
      <w:pPr>
        <w:spacing w:after="0"/>
        <w:ind w:left="0"/>
        <w:rPr>
          <w:i/>
          <w:iCs/>
          <w:sz w:val="16"/>
          <w:szCs w:val="16"/>
        </w:rPr>
      </w:pPr>
    </w:p>
    <w:p w:rsidR="005D6B11" w:rsidRDefault="005D6B11" w:rsidP="005D6B11">
      <w:pPr>
        <w:pStyle w:val="ListParagraph"/>
        <w:numPr>
          <w:ilvl w:val="0"/>
          <w:numId w:val="1"/>
        </w:numPr>
        <w:spacing w:before="0" w:after="0"/>
        <w:ind w:left="284" w:hanging="284"/>
        <w:rPr>
          <w:b/>
          <w:sz w:val="20"/>
          <w:szCs w:val="20"/>
        </w:rPr>
      </w:pPr>
      <w:r>
        <w:rPr>
          <w:b/>
          <w:sz w:val="20"/>
          <w:szCs w:val="20"/>
        </w:rPr>
        <w:t>INTRODUCTION</w:t>
      </w:r>
    </w:p>
    <w:p w:rsidR="00304503" w:rsidRPr="00E32A23" w:rsidRDefault="005D6B11" w:rsidP="005D6B11">
      <w:pPr>
        <w:spacing w:after="0"/>
        <w:ind w:left="0" w:firstLine="284"/>
        <w:rPr>
          <w:sz w:val="20"/>
          <w:szCs w:val="20"/>
        </w:rPr>
      </w:pPr>
      <w:r w:rsidRPr="00E32A23">
        <w:rPr>
          <w:sz w:val="20"/>
          <w:szCs w:val="20"/>
        </w:rPr>
        <w:t>Tafsir of Nusantara’s history began in the 16th century with the discovery of manuscript  tafsir of Surah al-Kahf in Aceh.</w:t>
      </w:r>
      <w:r>
        <w:rPr>
          <w:sz w:val="20"/>
          <w:szCs w:val="20"/>
        </w:rPr>
        <w:t>[</w:t>
      </w:r>
      <w:r w:rsidR="00304503" w:rsidRPr="00A42B4C">
        <w:rPr>
          <w:rStyle w:val="EndnoteReference"/>
          <w:sz w:val="20"/>
          <w:szCs w:val="20"/>
        </w:rPr>
        <w:endnoteReference w:id="2"/>
      </w:r>
      <w:r w:rsidR="00304503" w:rsidRPr="00A42B4C">
        <w:rPr>
          <w:sz w:val="20"/>
          <w:szCs w:val="20"/>
        </w:rPr>
        <w:t>]</w:t>
      </w:r>
      <w:r w:rsidR="00304503" w:rsidRPr="00E32A23">
        <w:rPr>
          <w:sz w:val="20"/>
          <w:szCs w:val="20"/>
        </w:rPr>
        <w:t xml:space="preserve"> A century later appeared complete Tafsir of 30 chapters authored by Abd al-Ra'uf Singkel by the name </w:t>
      </w:r>
      <w:r w:rsidR="00304503" w:rsidRPr="00E32A23">
        <w:rPr>
          <w:i/>
          <w:iCs/>
          <w:sz w:val="20"/>
          <w:szCs w:val="20"/>
        </w:rPr>
        <w:t>Turjuman al-Mustafid.</w:t>
      </w:r>
      <w:r w:rsidR="00304503" w:rsidRPr="00A42B4C">
        <w:rPr>
          <w:iCs/>
          <w:sz w:val="20"/>
          <w:szCs w:val="20"/>
        </w:rPr>
        <w:t>[</w:t>
      </w:r>
      <w:r w:rsidR="00304503" w:rsidRPr="00A42B4C">
        <w:rPr>
          <w:rStyle w:val="EndnoteReference"/>
          <w:sz w:val="20"/>
          <w:szCs w:val="20"/>
        </w:rPr>
        <w:endnoteReference w:id="3"/>
      </w:r>
      <w:r w:rsidR="00304503" w:rsidRPr="00A42B4C">
        <w:rPr>
          <w:iCs/>
          <w:sz w:val="20"/>
          <w:szCs w:val="20"/>
        </w:rPr>
        <w:t>]</w:t>
      </w:r>
      <w:r w:rsidR="00304503" w:rsidRPr="00E32A23">
        <w:rPr>
          <w:sz w:val="20"/>
          <w:szCs w:val="20"/>
        </w:rPr>
        <w:t xml:space="preserve">. Tafsir is believed to be the first Tafsir in Malay language written in Arabic-Malay (pegon) complete 30 chapters. This work attracted much attention among researchers, both from Nusantara, as well as from the West, including from the orientalist. As Snouck, D.A. Rinkes, P. Voorhoeve, Riddle, and others. These researchers give different conclusions about the referral source Tafsir Turjuman al-Mustafid. Snouck stated that this tafsir was a translation of </w:t>
      </w:r>
      <w:r w:rsidR="00304503" w:rsidRPr="00E32A23">
        <w:rPr>
          <w:i/>
          <w:iCs/>
          <w:sz w:val="20"/>
          <w:szCs w:val="20"/>
        </w:rPr>
        <w:t>Tafsir</w:t>
      </w:r>
      <w:r w:rsidR="00304503" w:rsidRPr="00E32A23">
        <w:rPr>
          <w:sz w:val="20"/>
          <w:szCs w:val="20"/>
        </w:rPr>
        <w:t xml:space="preserve"> </w:t>
      </w:r>
      <w:r w:rsidR="00304503" w:rsidRPr="00E32A23">
        <w:rPr>
          <w:i/>
          <w:iCs/>
          <w:sz w:val="20"/>
          <w:szCs w:val="20"/>
        </w:rPr>
        <w:t>Baidhawi.</w:t>
      </w:r>
      <w:r w:rsidR="00304503" w:rsidRPr="00A42B4C">
        <w:rPr>
          <w:iCs/>
          <w:sz w:val="20"/>
          <w:szCs w:val="20"/>
        </w:rPr>
        <w:t>[</w:t>
      </w:r>
      <w:r w:rsidR="00304503" w:rsidRPr="00A42B4C">
        <w:rPr>
          <w:rStyle w:val="EndnoteReference"/>
          <w:sz w:val="20"/>
          <w:szCs w:val="20"/>
        </w:rPr>
        <w:endnoteReference w:id="4"/>
      </w:r>
      <w:r w:rsidR="00304503" w:rsidRPr="00A42B4C">
        <w:rPr>
          <w:iCs/>
          <w:sz w:val="20"/>
          <w:szCs w:val="20"/>
        </w:rPr>
        <w:t>]</w:t>
      </w:r>
      <w:r w:rsidR="00304503" w:rsidRPr="00E32A23">
        <w:rPr>
          <w:i/>
          <w:iCs/>
          <w:sz w:val="20"/>
          <w:szCs w:val="20"/>
        </w:rPr>
        <w:t xml:space="preserve"> </w:t>
      </w:r>
      <w:r w:rsidR="00304503" w:rsidRPr="00E32A23">
        <w:rPr>
          <w:sz w:val="20"/>
          <w:szCs w:val="20"/>
        </w:rPr>
        <w:t>Peter Riddell, followed by Martin Van Bruenessen states that the book is a translation of a book from Tafsir Jalalain accompanied by additional of several books of other Tafsir.</w:t>
      </w:r>
      <w:r w:rsidR="00304503" w:rsidRPr="00A42B4C">
        <w:rPr>
          <w:sz w:val="20"/>
          <w:szCs w:val="20"/>
        </w:rPr>
        <w:t>[</w:t>
      </w:r>
      <w:r w:rsidR="00304503" w:rsidRPr="00A42B4C">
        <w:rPr>
          <w:rStyle w:val="EndnoteReference"/>
          <w:sz w:val="20"/>
          <w:szCs w:val="20"/>
        </w:rPr>
        <w:endnoteReference w:id="5"/>
      </w:r>
      <w:r w:rsidR="00304503" w:rsidRPr="00A42B4C">
        <w:rPr>
          <w:sz w:val="20"/>
          <w:szCs w:val="20"/>
        </w:rPr>
        <w:t>]</w:t>
      </w:r>
      <w:r w:rsidR="00304503" w:rsidRPr="00E32A23">
        <w:rPr>
          <w:sz w:val="20"/>
          <w:szCs w:val="20"/>
        </w:rPr>
        <w:t>Another orientalist conclude that this work is the work that is drawn from a wide variety of Tafsir Arabic books. Various different opinion is certainly motivated by different viewpoints. However, that does not mean there is no better conclusion than what already exists, so the opportunity to rediscover a more appropriate conclusion or at least closer, still very open to reveal the originality of Tafsir Turjuman al-Mustafid.</w:t>
      </w:r>
    </w:p>
    <w:p w:rsidR="00304503" w:rsidRPr="00E32A23" w:rsidRDefault="00304503" w:rsidP="005D6B11">
      <w:pPr>
        <w:spacing w:after="0"/>
        <w:ind w:left="0" w:firstLine="284"/>
        <w:rPr>
          <w:sz w:val="20"/>
          <w:szCs w:val="20"/>
        </w:rPr>
      </w:pPr>
      <w:r w:rsidRPr="00E32A23">
        <w:rPr>
          <w:sz w:val="20"/>
          <w:szCs w:val="20"/>
        </w:rPr>
        <w:t xml:space="preserve">Authors interested in doing an internal critique of </w:t>
      </w:r>
      <w:r w:rsidRPr="00E32A23">
        <w:rPr>
          <w:i/>
          <w:iCs/>
          <w:sz w:val="20"/>
          <w:szCs w:val="20"/>
        </w:rPr>
        <w:t>Turjuman al-Mustafid</w:t>
      </w:r>
      <w:r w:rsidRPr="00E32A23">
        <w:rPr>
          <w:sz w:val="20"/>
          <w:szCs w:val="20"/>
        </w:rPr>
        <w:t xml:space="preserve"> books, with due regard to the colophon and writing style of the book. This is based on the discovery of the colophon which contains an explanation of the status of the book wrote by his student, Daud al-Rumi. Thus, it will be tracked as far as the role and involvement of Daud al-Rumi in writing this work. Then, the external criticism also elaborate to see the influence of social conditions from author of the book to his interpretation, using basic assumption of pre-understanding theory by Hans Gadamer in hermeneutics.</w:t>
      </w:r>
      <w:r w:rsidRPr="00E32A23">
        <w:rPr>
          <w:rStyle w:val="EndnoteReference"/>
          <w:sz w:val="20"/>
          <w:szCs w:val="20"/>
        </w:rPr>
        <w:t xml:space="preserve"> </w:t>
      </w:r>
      <w:r w:rsidRPr="00A42B4C">
        <w:rPr>
          <w:sz w:val="20"/>
          <w:szCs w:val="20"/>
        </w:rPr>
        <w:t>[</w:t>
      </w:r>
      <w:r w:rsidRPr="00A42B4C">
        <w:rPr>
          <w:rStyle w:val="EndnoteReference"/>
          <w:sz w:val="20"/>
          <w:szCs w:val="20"/>
        </w:rPr>
        <w:endnoteReference w:id="6"/>
      </w:r>
      <w:r w:rsidRPr="00A42B4C">
        <w:rPr>
          <w:sz w:val="20"/>
          <w:szCs w:val="20"/>
        </w:rPr>
        <w:t>]</w:t>
      </w:r>
      <w:r w:rsidRPr="00E32A23">
        <w:rPr>
          <w:sz w:val="20"/>
          <w:szCs w:val="20"/>
        </w:rPr>
        <w:t xml:space="preserve">  Therefore, the authors want to elaborate (1) Who was the author of </w:t>
      </w:r>
      <w:r w:rsidRPr="00E32A23">
        <w:rPr>
          <w:i/>
          <w:iCs/>
          <w:sz w:val="20"/>
          <w:szCs w:val="20"/>
        </w:rPr>
        <w:t>Turjuman al-Mustafid</w:t>
      </w:r>
      <w:r w:rsidRPr="00E32A23">
        <w:rPr>
          <w:sz w:val="20"/>
          <w:szCs w:val="20"/>
        </w:rPr>
        <w:t xml:space="preserve">?? (2) What is the position of David al-Rumi in writing of the book of </w:t>
      </w:r>
      <w:r w:rsidRPr="00E32A23">
        <w:rPr>
          <w:i/>
          <w:iCs/>
          <w:sz w:val="20"/>
          <w:szCs w:val="20"/>
        </w:rPr>
        <w:t>Turjuman al-Mustafid</w:t>
      </w:r>
      <w:r w:rsidRPr="00E32A23">
        <w:rPr>
          <w:sz w:val="20"/>
          <w:szCs w:val="20"/>
        </w:rPr>
        <w:t>? (3) how the interpretation of 'Abd al-Ra'uf Singkel regarding women position in society?</w:t>
      </w:r>
    </w:p>
    <w:p w:rsidR="00304503" w:rsidRPr="00E32A23" w:rsidRDefault="00304503" w:rsidP="005D6B11">
      <w:pPr>
        <w:pStyle w:val="ListParagraph"/>
        <w:spacing w:after="0"/>
        <w:ind w:left="0"/>
        <w:rPr>
          <w:b/>
          <w:bCs/>
          <w:sz w:val="20"/>
          <w:szCs w:val="20"/>
        </w:rPr>
      </w:pPr>
      <w:r w:rsidRPr="00E32A23">
        <w:rPr>
          <w:b/>
          <w:bCs/>
          <w:sz w:val="20"/>
          <w:szCs w:val="20"/>
        </w:rPr>
        <w:t>2.RESEARCH METHODOLOGY</w:t>
      </w:r>
    </w:p>
    <w:p w:rsidR="00304503" w:rsidRPr="009411BE" w:rsidRDefault="00304503" w:rsidP="005D6B11">
      <w:pPr>
        <w:spacing w:before="0" w:after="0"/>
        <w:ind w:left="0" w:firstLine="284"/>
        <w:rPr>
          <w:sz w:val="20"/>
          <w:szCs w:val="20"/>
        </w:rPr>
      </w:pPr>
      <w:r w:rsidRPr="009411BE">
        <w:rPr>
          <w:sz w:val="20"/>
          <w:szCs w:val="20"/>
        </w:rPr>
        <w:t xml:space="preserve">This study used a comparative method between Tafsir </w:t>
      </w:r>
      <w:r w:rsidRPr="009411BE">
        <w:rPr>
          <w:i/>
          <w:iCs/>
          <w:sz w:val="20"/>
          <w:szCs w:val="20"/>
        </w:rPr>
        <w:t>Turjuman al-Mustafid</w:t>
      </w:r>
      <w:r w:rsidRPr="009411BE">
        <w:rPr>
          <w:sz w:val="20"/>
          <w:szCs w:val="20"/>
        </w:rPr>
        <w:t xml:space="preserve"> with some tafsir regarded as a source of its writing. Moreover, the authors also uses historical method to see if the interpretation of the book of Turjuman by 'Abd al-Ra'uf Singkel influenced by the social conditions in the time when Aceh was led by a </w:t>
      </w:r>
      <w:r w:rsidRPr="009411BE">
        <w:rPr>
          <w:i/>
          <w:iCs/>
          <w:sz w:val="20"/>
          <w:szCs w:val="20"/>
        </w:rPr>
        <w:t>sulthanah</w:t>
      </w:r>
      <w:r w:rsidRPr="009411BE">
        <w:rPr>
          <w:sz w:val="20"/>
          <w:szCs w:val="20"/>
        </w:rPr>
        <w:t xml:space="preserve"> for four decades.</w:t>
      </w:r>
      <w:r w:rsidRPr="009411BE">
        <w:rPr>
          <w:rStyle w:val="EndnoteReference"/>
          <w:sz w:val="20"/>
          <w:szCs w:val="20"/>
        </w:rPr>
        <w:t xml:space="preserve"> </w:t>
      </w:r>
      <w:r w:rsidRPr="00A42B4C">
        <w:rPr>
          <w:sz w:val="20"/>
          <w:szCs w:val="20"/>
        </w:rPr>
        <w:t>[</w:t>
      </w:r>
      <w:r w:rsidRPr="00A42B4C">
        <w:rPr>
          <w:rStyle w:val="EndnoteReference"/>
          <w:sz w:val="20"/>
          <w:szCs w:val="20"/>
        </w:rPr>
        <w:endnoteReference w:id="7"/>
      </w:r>
      <w:r w:rsidRPr="00A42B4C">
        <w:rPr>
          <w:rStyle w:val="EndnoteReference"/>
          <w:sz w:val="20"/>
          <w:szCs w:val="20"/>
        </w:rPr>
        <w:t>]</w:t>
      </w:r>
      <w:r w:rsidRPr="00A42B4C">
        <w:rPr>
          <w:sz w:val="20"/>
          <w:szCs w:val="20"/>
        </w:rPr>
        <w:t xml:space="preserve"> </w:t>
      </w:r>
      <w:r w:rsidRPr="009411BE">
        <w:rPr>
          <w:sz w:val="20"/>
          <w:szCs w:val="20"/>
        </w:rPr>
        <w:t xml:space="preserve"> The technique done by elaborate some related references, both primary (Tafsir </w:t>
      </w:r>
    </w:p>
    <w:p w:rsidR="00304503" w:rsidRDefault="00304503" w:rsidP="005D6B11">
      <w:pPr>
        <w:pStyle w:val="ListParagraph"/>
        <w:spacing w:before="0" w:after="0"/>
        <w:ind w:left="0"/>
      </w:pPr>
    </w:p>
    <w:p w:rsidR="00304503" w:rsidRPr="0003399D" w:rsidRDefault="00304503" w:rsidP="005D6B11">
      <w:pPr>
        <w:spacing w:after="0"/>
        <w:ind w:left="0"/>
        <w:rPr>
          <w:b/>
          <w:bCs/>
          <w:sz w:val="20"/>
        </w:rPr>
      </w:pPr>
      <w:r w:rsidRPr="0003399D">
        <w:rPr>
          <w:b/>
          <w:bCs/>
          <w:sz w:val="20"/>
        </w:rPr>
        <w:t>3. SETTING SOCIAL-INTELECTUAL OF ‘ABD AL-RA’UF SINGKEL</w:t>
      </w:r>
    </w:p>
    <w:p w:rsidR="00304503" w:rsidRPr="00D25FDC" w:rsidRDefault="00304503" w:rsidP="005D6B11">
      <w:pPr>
        <w:spacing w:before="0" w:after="0"/>
        <w:ind w:left="0" w:firstLine="284"/>
        <w:rPr>
          <w:sz w:val="20"/>
          <w:szCs w:val="20"/>
        </w:rPr>
      </w:pPr>
      <w:r w:rsidRPr="00D25FDC">
        <w:rPr>
          <w:sz w:val="20"/>
          <w:szCs w:val="20"/>
        </w:rPr>
        <w:t>'Abd al-Ra'uf bin' Ali al-Jawi al-Fanshuri al-Sinkili, renowned Nusantara scholars from Fansur, born about 1615 M / 1024 H.</w:t>
      </w:r>
      <w:r w:rsidRPr="00D25FDC">
        <w:rPr>
          <w:rStyle w:val="EndnoteReference"/>
          <w:sz w:val="20"/>
          <w:szCs w:val="20"/>
        </w:rPr>
        <w:t xml:space="preserve"> </w:t>
      </w:r>
      <w:r>
        <w:rPr>
          <w:sz w:val="20"/>
          <w:szCs w:val="20"/>
        </w:rPr>
        <w:t>[</w:t>
      </w:r>
      <w:r w:rsidRPr="00A42B4C">
        <w:rPr>
          <w:rStyle w:val="EndnoteReference"/>
          <w:sz w:val="20"/>
          <w:szCs w:val="20"/>
        </w:rPr>
        <w:endnoteReference w:id="8"/>
      </w:r>
      <w:r>
        <w:rPr>
          <w:sz w:val="20"/>
          <w:szCs w:val="20"/>
        </w:rPr>
        <w:t>]</w:t>
      </w:r>
      <w:r w:rsidRPr="00D25FDC">
        <w:rPr>
          <w:sz w:val="20"/>
          <w:szCs w:val="20"/>
        </w:rPr>
        <w:t xml:space="preserve">  'Abd al-Ra'uf went to Mecca around the year 1643 ( 1064 H</w:t>
      </w:r>
      <w:r>
        <w:rPr>
          <w:sz w:val="20"/>
          <w:szCs w:val="20"/>
        </w:rPr>
        <w:t>[</w:t>
      </w:r>
      <w:r w:rsidRPr="00A42B4C">
        <w:rPr>
          <w:rStyle w:val="EndnoteReference"/>
          <w:sz w:val="20"/>
          <w:szCs w:val="20"/>
        </w:rPr>
        <w:endnoteReference w:id="9"/>
      </w:r>
      <w:r>
        <w:rPr>
          <w:sz w:val="20"/>
          <w:szCs w:val="20"/>
        </w:rPr>
        <w:t>]</w:t>
      </w:r>
      <w:r w:rsidRPr="00D25FDC">
        <w:rPr>
          <w:sz w:val="20"/>
          <w:szCs w:val="20"/>
        </w:rPr>
        <w:t xml:space="preserve"> / around 28 years), when the sultanate of Aceh led by Sultanah Safiyatuddin.</w:t>
      </w:r>
      <w:r w:rsidRPr="00D25FDC">
        <w:rPr>
          <w:rStyle w:val="EndnoteReference"/>
          <w:sz w:val="20"/>
          <w:szCs w:val="20"/>
        </w:rPr>
        <w:t xml:space="preserve"> </w:t>
      </w:r>
      <w:r>
        <w:rPr>
          <w:sz w:val="20"/>
          <w:szCs w:val="20"/>
        </w:rPr>
        <w:t>[</w:t>
      </w:r>
      <w:r w:rsidRPr="00A42B4C">
        <w:rPr>
          <w:rStyle w:val="EndnoteReference"/>
          <w:sz w:val="20"/>
          <w:szCs w:val="20"/>
        </w:rPr>
        <w:endnoteReference w:id="10"/>
      </w:r>
      <w:r>
        <w:rPr>
          <w:sz w:val="20"/>
          <w:szCs w:val="20"/>
        </w:rPr>
        <w:t>]</w:t>
      </w:r>
      <w:r w:rsidRPr="00D25FDC">
        <w:rPr>
          <w:sz w:val="20"/>
          <w:szCs w:val="20"/>
        </w:rPr>
        <w:t xml:space="preserve">  'Abd al-Ra'uf studying for more than 16</w:t>
      </w:r>
      <w:r>
        <w:rPr>
          <w:sz w:val="20"/>
          <w:szCs w:val="20"/>
        </w:rPr>
        <w:t>[</w:t>
      </w:r>
      <w:r w:rsidRPr="00A42B4C">
        <w:rPr>
          <w:rStyle w:val="EndnoteReference"/>
          <w:sz w:val="20"/>
          <w:szCs w:val="20"/>
        </w:rPr>
        <w:endnoteReference w:id="11"/>
      </w:r>
      <w:r>
        <w:rPr>
          <w:sz w:val="20"/>
          <w:szCs w:val="20"/>
        </w:rPr>
        <w:t>]</w:t>
      </w:r>
      <w:r w:rsidRPr="00D25FDC">
        <w:rPr>
          <w:sz w:val="20"/>
          <w:szCs w:val="20"/>
        </w:rPr>
        <w:t xml:space="preserve"> or 19</w:t>
      </w:r>
      <w:r>
        <w:rPr>
          <w:sz w:val="20"/>
          <w:szCs w:val="20"/>
        </w:rPr>
        <w:t>[</w:t>
      </w:r>
      <w:r w:rsidRPr="00A42B4C">
        <w:rPr>
          <w:rStyle w:val="EndnoteReference"/>
          <w:sz w:val="20"/>
          <w:szCs w:val="20"/>
        </w:rPr>
        <w:endnoteReference w:id="12"/>
      </w:r>
      <w:r>
        <w:rPr>
          <w:sz w:val="20"/>
          <w:szCs w:val="20"/>
        </w:rPr>
        <w:t>]</w:t>
      </w:r>
      <w:r w:rsidRPr="00D25FDC">
        <w:rPr>
          <w:sz w:val="20"/>
          <w:szCs w:val="20"/>
        </w:rPr>
        <w:t xml:space="preserve"> </w:t>
      </w:r>
      <w:r w:rsidRPr="00D25FDC">
        <w:rPr>
          <w:sz w:val="20"/>
          <w:szCs w:val="20"/>
        </w:rPr>
        <w:lastRenderedPageBreak/>
        <w:t>years in a variety of places, from Dhuha (Doha), Yemen, Jeddah, Makkah and Madinah.</w:t>
      </w:r>
      <w:r w:rsidRPr="00D25FDC">
        <w:rPr>
          <w:rStyle w:val="EndnoteReference"/>
          <w:sz w:val="20"/>
          <w:szCs w:val="20"/>
        </w:rPr>
        <w:t xml:space="preserve"> </w:t>
      </w:r>
      <w:r>
        <w:rPr>
          <w:sz w:val="20"/>
          <w:szCs w:val="20"/>
        </w:rPr>
        <w:t>[</w:t>
      </w:r>
      <w:r w:rsidRPr="00A42B4C">
        <w:rPr>
          <w:rStyle w:val="EndnoteReference"/>
          <w:sz w:val="20"/>
          <w:szCs w:val="20"/>
        </w:rPr>
        <w:endnoteReference w:id="13"/>
      </w:r>
      <w:r w:rsidRPr="00A42B4C">
        <w:rPr>
          <w:sz w:val="20"/>
          <w:szCs w:val="20"/>
        </w:rPr>
        <w:t>]</w:t>
      </w:r>
      <w:r w:rsidRPr="00D25FDC">
        <w:rPr>
          <w:sz w:val="20"/>
          <w:szCs w:val="20"/>
        </w:rPr>
        <w:t xml:space="preserve"> 'Abd al-Ra'uf has 17 teachers and met with 25 and 15 Sufi clerics. The most influential teacher was Ahmad al-Qusyasyi (d.1661 M/ 1082 H) and Ibrahim al-Kurani,</w:t>
      </w:r>
      <w:r>
        <w:rPr>
          <w:sz w:val="20"/>
          <w:szCs w:val="20"/>
        </w:rPr>
        <w:t>[</w:t>
      </w:r>
      <w:r w:rsidRPr="00A42B4C">
        <w:rPr>
          <w:rStyle w:val="EndnoteReference"/>
          <w:sz w:val="20"/>
          <w:szCs w:val="20"/>
        </w:rPr>
        <w:endnoteReference w:id="14"/>
      </w:r>
      <w:r>
        <w:rPr>
          <w:sz w:val="20"/>
          <w:szCs w:val="20"/>
        </w:rPr>
        <w:t>]</w:t>
      </w:r>
      <w:r w:rsidRPr="00D25FDC">
        <w:rPr>
          <w:sz w:val="20"/>
          <w:szCs w:val="20"/>
        </w:rPr>
        <w:t xml:space="preserve"> the two main teachers' of Abd al-Ra'uf has </w:t>
      </w:r>
      <w:r w:rsidRPr="00D25FDC">
        <w:rPr>
          <w:i/>
          <w:iCs/>
          <w:sz w:val="20"/>
          <w:szCs w:val="20"/>
        </w:rPr>
        <w:t xml:space="preserve">Isnad </w:t>
      </w:r>
      <w:r w:rsidRPr="00D25FDC">
        <w:rPr>
          <w:sz w:val="20"/>
          <w:szCs w:val="20"/>
        </w:rPr>
        <w:t xml:space="preserve">tafsir </w:t>
      </w:r>
      <w:r w:rsidRPr="00D25FDC">
        <w:rPr>
          <w:i/>
          <w:iCs/>
          <w:sz w:val="20"/>
          <w:szCs w:val="20"/>
        </w:rPr>
        <w:t>Jalalain</w:t>
      </w:r>
      <w:r w:rsidRPr="00D25FDC">
        <w:rPr>
          <w:sz w:val="20"/>
          <w:szCs w:val="20"/>
        </w:rPr>
        <w:t xml:space="preserve"> until Imam Jalaluddin al-Mahalli and Jalaluddin al-Suyuti.</w:t>
      </w:r>
      <w:r>
        <w:rPr>
          <w:sz w:val="20"/>
          <w:szCs w:val="20"/>
        </w:rPr>
        <w:t>[</w:t>
      </w:r>
      <w:r w:rsidRPr="00A42B4C">
        <w:rPr>
          <w:rStyle w:val="EndnoteReference"/>
          <w:sz w:val="20"/>
          <w:szCs w:val="20"/>
        </w:rPr>
        <w:endnoteReference w:id="15"/>
      </w:r>
      <w:r>
        <w:rPr>
          <w:sz w:val="20"/>
          <w:szCs w:val="20"/>
        </w:rPr>
        <w:t>]</w:t>
      </w:r>
    </w:p>
    <w:p w:rsidR="00304503" w:rsidRPr="00D25FDC" w:rsidRDefault="00304503" w:rsidP="005D6B11">
      <w:pPr>
        <w:spacing w:before="0" w:after="0"/>
        <w:ind w:left="0" w:firstLine="284"/>
        <w:rPr>
          <w:sz w:val="20"/>
          <w:szCs w:val="20"/>
        </w:rPr>
      </w:pPr>
      <w:r w:rsidRPr="00D25FDC">
        <w:rPr>
          <w:sz w:val="20"/>
          <w:szCs w:val="20"/>
        </w:rPr>
        <w:t>'Abd al-Ra'uf back to Nusantara around 1661 AD.</w:t>
      </w:r>
      <w:r>
        <w:rPr>
          <w:sz w:val="20"/>
          <w:szCs w:val="20"/>
        </w:rPr>
        <w:t>[</w:t>
      </w:r>
      <w:r w:rsidRPr="00A42B4C">
        <w:rPr>
          <w:rStyle w:val="EndnoteReference"/>
          <w:sz w:val="20"/>
          <w:szCs w:val="20"/>
        </w:rPr>
        <w:endnoteReference w:id="16"/>
      </w:r>
      <w:r>
        <w:rPr>
          <w:sz w:val="20"/>
          <w:szCs w:val="20"/>
        </w:rPr>
        <w:t>]</w:t>
      </w:r>
      <w:r w:rsidRPr="00D25FDC">
        <w:rPr>
          <w:sz w:val="20"/>
          <w:szCs w:val="20"/>
        </w:rPr>
        <w:t xml:space="preserve"> At that time, the reins of leadership in the hands of the sultanate of Aceh Sultanah Safiyat al-Din who succeeded her husband Iskandar Thani. She ruled from 1641 until 1675. Later, replaced by Sultanah Nur al-'A'lam Naqiyyat al-Din (1675-1678). Then, replaced by Zakiyyat al-Din (1678 - 1688), and the Sultanah Kamalat al-Din (1688 - 1699) which derived from his throne after coming delegation from Makkah to the Aceh Palace which explains that a woman is not allowed to become the leader of an empire.</w:t>
      </w:r>
      <w:r w:rsidRPr="00D25FDC">
        <w:rPr>
          <w:rStyle w:val="EndnoteReference"/>
          <w:sz w:val="20"/>
          <w:szCs w:val="20"/>
        </w:rPr>
        <w:t xml:space="preserve"> </w:t>
      </w:r>
      <w:r>
        <w:rPr>
          <w:sz w:val="20"/>
          <w:szCs w:val="20"/>
        </w:rPr>
        <w:t>[</w:t>
      </w:r>
      <w:r w:rsidRPr="00A42B4C">
        <w:rPr>
          <w:rStyle w:val="EndnoteReference"/>
          <w:sz w:val="20"/>
          <w:szCs w:val="20"/>
        </w:rPr>
        <w:endnoteReference w:id="17"/>
      </w:r>
      <w:r>
        <w:rPr>
          <w:sz w:val="20"/>
          <w:szCs w:val="20"/>
        </w:rPr>
        <w:t>]</w:t>
      </w:r>
    </w:p>
    <w:p w:rsidR="00304503" w:rsidRPr="00D25FDC" w:rsidRDefault="00304503" w:rsidP="005D6B11">
      <w:pPr>
        <w:spacing w:before="0" w:after="0"/>
        <w:ind w:left="0" w:firstLine="284"/>
        <w:rPr>
          <w:sz w:val="20"/>
          <w:szCs w:val="20"/>
        </w:rPr>
      </w:pPr>
      <w:r w:rsidRPr="00D25FDC">
        <w:rPr>
          <w:sz w:val="20"/>
          <w:szCs w:val="20"/>
        </w:rPr>
        <w:t xml:space="preserve">'Abd al-Ra'uf taught at Kuala Sungai, Banda Aceh until his death in 1693 M/ 1105 H and was buried there. In addition to teaching, he was also appointed as </w:t>
      </w:r>
      <w:r w:rsidRPr="00D25FDC">
        <w:rPr>
          <w:i/>
          <w:iCs/>
          <w:sz w:val="20"/>
          <w:szCs w:val="20"/>
        </w:rPr>
        <w:t>mufti Kesultanah Aceh</w:t>
      </w:r>
      <w:r w:rsidRPr="00D25FDC">
        <w:rPr>
          <w:sz w:val="20"/>
          <w:szCs w:val="20"/>
        </w:rPr>
        <w:t>.</w:t>
      </w:r>
      <w:r w:rsidRPr="00D25FDC">
        <w:rPr>
          <w:rStyle w:val="EndnoteReference"/>
          <w:sz w:val="20"/>
          <w:szCs w:val="20"/>
        </w:rPr>
        <w:t xml:space="preserve"> </w:t>
      </w:r>
      <w:r>
        <w:rPr>
          <w:sz w:val="20"/>
          <w:szCs w:val="20"/>
        </w:rPr>
        <w:t>[</w:t>
      </w:r>
      <w:r w:rsidRPr="00A42B4C">
        <w:rPr>
          <w:rStyle w:val="EndnoteReference"/>
          <w:sz w:val="20"/>
          <w:szCs w:val="20"/>
        </w:rPr>
        <w:endnoteReference w:id="18"/>
      </w:r>
      <w:r>
        <w:rPr>
          <w:sz w:val="20"/>
          <w:szCs w:val="20"/>
        </w:rPr>
        <w:t>]</w:t>
      </w:r>
      <w:r w:rsidRPr="00D25FDC">
        <w:rPr>
          <w:sz w:val="20"/>
          <w:szCs w:val="20"/>
        </w:rPr>
        <w:t xml:space="preserve"> If the terms of his return to Aceh until his death at the age of about 78 years, then in terms of government policy, 'Abd al-Ra'uf become a mufti for four Sulatanah Sultanate of Aceh. During his career in Aceh, 'Abd al-Ra'uf has written 21 books. 1 Tafsir, 3 works on the hadith, 3 works in the field of jurisprudence/ </w:t>
      </w:r>
      <w:r w:rsidRPr="00D25FDC">
        <w:rPr>
          <w:i/>
          <w:iCs/>
          <w:sz w:val="20"/>
          <w:szCs w:val="20"/>
        </w:rPr>
        <w:t>Fiqh</w:t>
      </w:r>
      <w:r w:rsidRPr="00D25FDC">
        <w:rPr>
          <w:sz w:val="20"/>
          <w:szCs w:val="20"/>
        </w:rPr>
        <w:t xml:space="preserve">, and the rest of </w:t>
      </w:r>
      <w:r w:rsidRPr="00D25FDC">
        <w:rPr>
          <w:i/>
          <w:iCs/>
          <w:sz w:val="20"/>
          <w:szCs w:val="20"/>
        </w:rPr>
        <w:t>Tasawuf</w:t>
      </w:r>
      <w:r w:rsidRPr="00D25FDC">
        <w:rPr>
          <w:sz w:val="20"/>
          <w:szCs w:val="20"/>
        </w:rPr>
        <w:t xml:space="preserve"> or </w:t>
      </w:r>
      <w:r w:rsidRPr="00D25FDC">
        <w:rPr>
          <w:i/>
          <w:iCs/>
          <w:sz w:val="20"/>
          <w:szCs w:val="20"/>
        </w:rPr>
        <w:t>Tarekat</w:t>
      </w:r>
      <w:r w:rsidRPr="00D25FDC">
        <w:rPr>
          <w:sz w:val="20"/>
          <w:szCs w:val="20"/>
        </w:rPr>
        <w:t xml:space="preserve">. Tafsir that mentioned was </w:t>
      </w:r>
      <w:r w:rsidRPr="00D25FDC">
        <w:rPr>
          <w:i/>
          <w:iCs/>
          <w:sz w:val="20"/>
          <w:szCs w:val="20"/>
        </w:rPr>
        <w:t>Turjuman al-Mustafid</w:t>
      </w:r>
      <w:r w:rsidRPr="00D25FDC">
        <w:rPr>
          <w:sz w:val="20"/>
          <w:szCs w:val="20"/>
        </w:rPr>
        <w:t>. According to the dissertation Peter Riddell this work is a translation of a book of Tafsir Jalalain</w:t>
      </w:r>
      <w:r w:rsidRPr="00D25FDC">
        <w:rPr>
          <w:i/>
          <w:iCs/>
          <w:sz w:val="20"/>
          <w:szCs w:val="20"/>
        </w:rPr>
        <w:t>.</w:t>
      </w:r>
      <w:r w:rsidRPr="00A42B4C">
        <w:rPr>
          <w:iCs/>
          <w:sz w:val="20"/>
          <w:szCs w:val="20"/>
        </w:rPr>
        <w:t>[</w:t>
      </w:r>
      <w:r w:rsidRPr="00A42B4C">
        <w:rPr>
          <w:rStyle w:val="EndnoteReference"/>
          <w:sz w:val="20"/>
          <w:szCs w:val="20"/>
        </w:rPr>
        <w:endnoteReference w:id="19"/>
      </w:r>
      <w:r w:rsidRPr="00A42B4C">
        <w:rPr>
          <w:iCs/>
          <w:sz w:val="20"/>
          <w:szCs w:val="20"/>
        </w:rPr>
        <w:t>]</w:t>
      </w:r>
    </w:p>
    <w:p w:rsidR="00304503" w:rsidRPr="00D25FDC" w:rsidRDefault="00304503" w:rsidP="005D6B11">
      <w:pPr>
        <w:spacing w:before="0" w:after="0"/>
        <w:ind w:left="0" w:firstLine="284"/>
        <w:rPr>
          <w:sz w:val="20"/>
          <w:szCs w:val="20"/>
        </w:rPr>
      </w:pPr>
      <w:r w:rsidRPr="00D25FDC">
        <w:rPr>
          <w:sz w:val="20"/>
          <w:szCs w:val="20"/>
        </w:rPr>
        <w:t>Some students who had studied to Syaikh 'Abd al-Ra'uf was Tuanku Ulakan from West Sumatra,' Abd al-Muhyi 'from West Java,' Abdul Malik ibn 'Abdullah, and the student who most merit in writing of Turjuman (Baba Daud al-Jawi al-Fanshuri bin Ismail bin Agha Agha Mustafa bin Ali al-Rumi).</w:t>
      </w:r>
      <w:r>
        <w:rPr>
          <w:sz w:val="20"/>
          <w:szCs w:val="20"/>
        </w:rPr>
        <w:t>[</w:t>
      </w:r>
      <w:r w:rsidRPr="00A42B4C">
        <w:rPr>
          <w:rStyle w:val="EndnoteReference"/>
          <w:sz w:val="20"/>
          <w:szCs w:val="20"/>
        </w:rPr>
        <w:endnoteReference w:id="20"/>
      </w:r>
      <w:r w:rsidRPr="00A42B4C">
        <w:rPr>
          <w:sz w:val="20"/>
          <w:szCs w:val="20"/>
        </w:rPr>
        <w:t xml:space="preserve"> </w:t>
      </w:r>
      <w:r>
        <w:rPr>
          <w:sz w:val="20"/>
          <w:szCs w:val="20"/>
        </w:rPr>
        <w:t>]</w:t>
      </w:r>
    </w:p>
    <w:p w:rsidR="00304503" w:rsidRDefault="00304503" w:rsidP="005D6B11">
      <w:pPr>
        <w:pStyle w:val="ListParagraph"/>
        <w:spacing w:before="0" w:after="0"/>
        <w:ind w:left="0"/>
        <w:rPr>
          <w:sz w:val="20"/>
          <w:szCs w:val="20"/>
        </w:rPr>
      </w:pPr>
    </w:p>
    <w:p w:rsidR="00304503" w:rsidRPr="002569EE" w:rsidRDefault="00304503" w:rsidP="005D6B11">
      <w:pPr>
        <w:spacing w:after="0"/>
        <w:ind w:left="0"/>
        <w:rPr>
          <w:b/>
          <w:bCs/>
          <w:i/>
          <w:iCs/>
          <w:sz w:val="20"/>
          <w:szCs w:val="20"/>
        </w:rPr>
      </w:pPr>
      <w:r w:rsidRPr="002569EE">
        <w:rPr>
          <w:b/>
          <w:sz w:val="20"/>
          <w:szCs w:val="20"/>
        </w:rPr>
        <w:t xml:space="preserve">4. </w:t>
      </w:r>
      <w:r w:rsidRPr="002569EE">
        <w:rPr>
          <w:b/>
          <w:bCs/>
          <w:sz w:val="20"/>
          <w:szCs w:val="20"/>
        </w:rPr>
        <w:t xml:space="preserve">GLANCE OF TAFSIR </w:t>
      </w:r>
      <w:r w:rsidRPr="002569EE">
        <w:rPr>
          <w:b/>
          <w:bCs/>
          <w:i/>
          <w:iCs/>
          <w:sz w:val="20"/>
          <w:szCs w:val="20"/>
        </w:rPr>
        <w:t>TURJUMAN AL-MUSTAFID</w:t>
      </w:r>
    </w:p>
    <w:p w:rsidR="00304503" w:rsidRPr="00712E0A" w:rsidRDefault="00304503" w:rsidP="005D6B11">
      <w:pPr>
        <w:spacing w:after="0"/>
        <w:ind w:left="0" w:firstLine="284"/>
        <w:rPr>
          <w:sz w:val="20"/>
          <w:szCs w:val="20"/>
        </w:rPr>
      </w:pPr>
      <w:r w:rsidRPr="00712E0A">
        <w:rPr>
          <w:sz w:val="20"/>
          <w:szCs w:val="20"/>
        </w:rPr>
        <w:t xml:space="preserve">To view the work of Nusantara scholars from Aceh, the author makes the Mushaf Al-Quran al-Karim accompanied by Hamisy Tafsir </w:t>
      </w:r>
      <w:r w:rsidRPr="00712E0A">
        <w:rPr>
          <w:i/>
          <w:iCs/>
          <w:sz w:val="20"/>
          <w:szCs w:val="20"/>
        </w:rPr>
        <w:t>Turjuman al-Mustafid</w:t>
      </w:r>
      <w:r w:rsidRPr="00712E0A">
        <w:rPr>
          <w:sz w:val="20"/>
          <w:szCs w:val="20"/>
        </w:rPr>
        <w:t xml:space="preserve"> by Ahmadabad Printing, Mumbai 1370 H/ 1951AD as a guidance and the main reference. The book consists of 612 pages divided into two parts, the first part consists of Surah al-Fatihah to Surah al-Isra 'while the second part consists of Surah al-Isra' to Surah al-Nas.</w:t>
      </w:r>
      <w:r w:rsidRPr="00712E0A">
        <w:rPr>
          <w:rStyle w:val="EndnoteReference"/>
          <w:sz w:val="20"/>
          <w:szCs w:val="20"/>
        </w:rPr>
        <w:t xml:space="preserve"> </w:t>
      </w:r>
      <w:r>
        <w:rPr>
          <w:sz w:val="20"/>
          <w:szCs w:val="20"/>
        </w:rPr>
        <w:t>[</w:t>
      </w:r>
      <w:r w:rsidRPr="00A42B4C">
        <w:rPr>
          <w:rStyle w:val="EndnoteReference"/>
          <w:sz w:val="20"/>
          <w:szCs w:val="20"/>
        </w:rPr>
        <w:endnoteReference w:id="21"/>
      </w:r>
      <w:r>
        <w:rPr>
          <w:sz w:val="20"/>
          <w:szCs w:val="20"/>
        </w:rPr>
        <w:t>]</w:t>
      </w:r>
      <w:r w:rsidRPr="00712E0A">
        <w:rPr>
          <w:sz w:val="20"/>
          <w:szCs w:val="20"/>
        </w:rPr>
        <w:t xml:space="preserve"> On the front cover of the book bylined namely: 'Abd al-Rauf bin' Ali al-Fansyuri al-Jawi. However, when we read by the end of the book, it will be found a very important statement presented by David al-Rumi as student of Abd al-Ra'uf, as seen clearly in the following sentence:</w:t>
      </w:r>
    </w:p>
    <w:p w:rsidR="00304503" w:rsidRPr="00712E0A" w:rsidRDefault="00304503" w:rsidP="005D6B11">
      <w:pPr>
        <w:bidi/>
        <w:spacing w:after="0"/>
        <w:ind w:left="0" w:firstLine="284"/>
        <w:rPr>
          <w:sz w:val="20"/>
          <w:szCs w:val="20"/>
        </w:rPr>
      </w:pPr>
      <w:r w:rsidRPr="00712E0A">
        <w:rPr>
          <w:sz w:val="20"/>
          <w:szCs w:val="20"/>
          <w:rtl/>
        </w:rPr>
        <w:t xml:space="preserve"> </w:t>
      </w:r>
      <w:r w:rsidRPr="00712E0A">
        <w:rPr>
          <w:sz w:val="20"/>
          <w:szCs w:val="20"/>
        </w:rPr>
        <w:t>...</w:t>
      </w:r>
      <w:r w:rsidRPr="00712E0A">
        <w:rPr>
          <w:sz w:val="20"/>
          <w:szCs w:val="20"/>
          <w:rtl/>
        </w:rPr>
        <w:t>(ويزيد عليه أصغر تلاميذه و أحقر خدامه باب داود الجاوي ابن اسماعيل ابن اغا مصطفى ابن أغا على الرومى غفر الله لهم قصصه المأخوذ أكثرها من الخازن و بعض روايته في القرآن بأمره) دان منمباهى اتسث اوليه سكجيل2 مريدث دان سهين 2 خادمث ايت يائيت داود جاوى انق اسماعيل انق أغا مصطفى أنق أغا على الرومى دامفون الله تعالى جو كيراث سكلين مريكئيت اكن قصهن يغ دامبل كبياكنث درفد خازن دان ستغة روايتث فد خلاف قرأة دغن سورهنث (ولله الحمد و المنة وصلى الله على سيدنا محمد وآله وصحبه أجمعين) دان بك الله تعالى جو سكل فوج دان نكرها دان رحمة الله دان سجهتراث اتس فغهول كيت نبى محمد دان اتس سكل كلوركاث دان سكل صحابتث سكلين آمين.</w:t>
      </w:r>
    </w:p>
    <w:p w:rsidR="00304503" w:rsidRPr="00B6338E" w:rsidRDefault="00304503" w:rsidP="005D6B11">
      <w:pPr>
        <w:spacing w:after="0"/>
        <w:ind w:firstLine="720"/>
        <w:rPr>
          <w:sz w:val="16"/>
          <w:szCs w:val="16"/>
        </w:rPr>
      </w:pPr>
    </w:p>
    <w:p w:rsidR="00304503" w:rsidRPr="00712E0A" w:rsidRDefault="00304503" w:rsidP="005D6B11">
      <w:pPr>
        <w:spacing w:after="0"/>
        <w:ind w:left="0"/>
        <w:rPr>
          <w:sz w:val="20"/>
        </w:rPr>
      </w:pPr>
      <w:r w:rsidRPr="00712E0A">
        <w:rPr>
          <w:sz w:val="20"/>
        </w:rPr>
        <w:t>This final note gives some very important information, including:</w:t>
      </w:r>
    </w:p>
    <w:p w:rsidR="00304503" w:rsidRPr="00A71E5E" w:rsidRDefault="00304503" w:rsidP="005D6B11">
      <w:pPr>
        <w:spacing w:before="0" w:after="0"/>
        <w:ind w:left="0" w:firstLine="284"/>
        <w:rPr>
          <w:sz w:val="20"/>
          <w:szCs w:val="20"/>
        </w:rPr>
      </w:pPr>
      <w:r w:rsidRPr="00A71E5E">
        <w:rPr>
          <w:sz w:val="20"/>
          <w:szCs w:val="20"/>
        </w:rPr>
        <w:t>First, this book is not only written by 'Abd al-Rauf, but also by his student David al-Rumi by the direction or dictation of' Abd al-Ra'uf. This conclusion certainly with reason;</w:t>
      </w:r>
    </w:p>
    <w:p w:rsidR="00304503" w:rsidRPr="00A71E5E" w:rsidRDefault="00304503" w:rsidP="00304503">
      <w:pPr>
        <w:pStyle w:val="ListParagraph"/>
        <w:numPr>
          <w:ilvl w:val="0"/>
          <w:numId w:val="13"/>
        </w:numPr>
        <w:spacing w:before="0" w:after="0"/>
        <w:ind w:left="720" w:hanging="436"/>
        <w:rPr>
          <w:sz w:val="20"/>
          <w:szCs w:val="20"/>
        </w:rPr>
      </w:pPr>
      <w:r w:rsidRPr="00A71E5E">
        <w:rPr>
          <w:sz w:val="20"/>
          <w:szCs w:val="20"/>
        </w:rPr>
        <w:t xml:space="preserve">Explanation that, this work is translated by 'Abd al-Ra'uf accompanied by a picture of how great he is, </w:t>
      </w:r>
      <w:r>
        <w:rPr>
          <w:sz w:val="20"/>
          <w:szCs w:val="20"/>
        </w:rPr>
        <w:br/>
      </w:r>
      <w:r w:rsidRPr="00A71E5E">
        <w:rPr>
          <w:sz w:val="20"/>
          <w:szCs w:val="20"/>
        </w:rPr>
        <w:t>shows that of David al-Rumi as student wrote a final note, a side of</w:t>
      </w:r>
      <w:r w:rsidRPr="00A71E5E">
        <w:rPr>
          <w:i/>
          <w:iCs/>
          <w:sz w:val="20"/>
          <w:szCs w:val="20"/>
        </w:rPr>
        <w:t xml:space="preserve"> tawaddhu'</w:t>
      </w:r>
      <w:r w:rsidRPr="00A71E5E">
        <w:rPr>
          <w:sz w:val="20"/>
          <w:szCs w:val="20"/>
        </w:rPr>
        <w:t xml:space="preserve"> for Rumi himself and </w:t>
      </w:r>
      <w:r>
        <w:rPr>
          <w:sz w:val="20"/>
          <w:szCs w:val="20"/>
        </w:rPr>
        <w:br/>
      </w:r>
      <w:r w:rsidRPr="00A71E5E">
        <w:rPr>
          <w:sz w:val="20"/>
          <w:szCs w:val="20"/>
        </w:rPr>
        <w:t>give very high respect for ' Abd al-Ra'uf.</w:t>
      </w:r>
    </w:p>
    <w:p w:rsidR="00304503" w:rsidRPr="00A71E5E" w:rsidRDefault="00304503" w:rsidP="0098511B">
      <w:pPr>
        <w:pStyle w:val="ListParagraph"/>
        <w:numPr>
          <w:ilvl w:val="0"/>
          <w:numId w:val="13"/>
        </w:numPr>
        <w:spacing w:before="0" w:after="0"/>
        <w:ind w:left="0" w:firstLine="284"/>
        <w:rPr>
          <w:sz w:val="20"/>
          <w:szCs w:val="20"/>
        </w:rPr>
      </w:pPr>
      <w:r w:rsidRPr="00A71E5E">
        <w:rPr>
          <w:sz w:val="20"/>
          <w:szCs w:val="20"/>
        </w:rPr>
        <w:t xml:space="preserve">Consistency </w:t>
      </w:r>
      <w:r w:rsidRPr="00A71E5E">
        <w:rPr>
          <w:rFonts w:hint="eastAsia"/>
          <w:sz w:val="20"/>
          <w:szCs w:val="20"/>
          <w:rtl/>
        </w:rPr>
        <w:t>ى</w:t>
      </w:r>
      <w:r w:rsidRPr="00A71E5E">
        <w:rPr>
          <w:sz w:val="20"/>
          <w:szCs w:val="20"/>
        </w:rPr>
        <w:t xml:space="preserve"> capitalization at the end of the word, not the letter </w:t>
      </w:r>
      <w:r w:rsidRPr="00A71E5E">
        <w:rPr>
          <w:rFonts w:hint="eastAsia"/>
          <w:sz w:val="20"/>
          <w:szCs w:val="20"/>
          <w:rtl/>
        </w:rPr>
        <w:t>ي</w:t>
      </w:r>
      <w:r w:rsidRPr="00A71E5E">
        <w:rPr>
          <w:sz w:val="20"/>
          <w:szCs w:val="20"/>
        </w:rPr>
        <w:t xml:space="preserve">, at the end of this note and also on </w:t>
      </w:r>
      <w:r>
        <w:rPr>
          <w:sz w:val="20"/>
          <w:szCs w:val="20"/>
        </w:rPr>
        <w:br/>
      </w:r>
      <w:r>
        <w:rPr>
          <w:sz w:val="20"/>
          <w:szCs w:val="20"/>
        </w:rPr>
        <w:tab/>
      </w:r>
      <w:r w:rsidRPr="00A71E5E">
        <w:rPr>
          <w:sz w:val="20"/>
          <w:szCs w:val="20"/>
        </w:rPr>
        <w:t xml:space="preserve">the content of the book, indicating that the author of the content part and endnotes of this paper is the </w:t>
      </w:r>
      <w:r>
        <w:rPr>
          <w:sz w:val="20"/>
          <w:szCs w:val="20"/>
        </w:rPr>
        <w:br/>
      </w:r>
      <w:r>
        <w:rPr>
          <w:sz w:val="20"/>
          <w:szCs w:val="20"/>
        </w:rPr>
        <w:tab/>
      </w:r>
      <w:r w:rsidRPr="00A71E5E">
        <w:rPr>
          <w:sz w:val="20"/>
          <w:szCs w:val="20"/>
        </w:rPr>
        <w:t>same person.</w:t>
      </w:r>
      <w:r>
        <w:rPr>
          <w:sz w:val="20"/>
          <w:szCs w:val="20"/>
        </w:rPr>
        <w:t>[</w:t>
      </w:r>
      <w:r w:rsidRPr="00A42B4C">
        <w:rPr>
          <w:rStyle w:val="EndnoteReference"/>
          <w:sz w:val="20"/>
          <w:szCs w:val="20"/>
        </w:rPr>
        <w:endnoteReference w:id="22"/>
      </w:r>
      <w:r>
        <w:rPr>
          <w:sz w:val="20"/>
          <w:szCs w:val="20"/>
        </w:rPr>
        <w:t>]</w:t>
      </w:r>
    </w:p>
    <w:p w:rsidR="00304503" w:rsidRPr="00A71E5E" w:rsidRDefault="00304503" w:rsidP="0098511B">
      <w:pPr>
        <w:pStyle w:val="ListParagraph"/>
        <w:numPr>
          <w:ilvl w:val="0"/>
          <w:numId w:val="13"/>
        </w:numPr>
        <w:spacing w:before="0" w:after="0"/>
        <w:ind w:left="0" w:firstLine="284"/>
        <w:rPr>
          <w:sz w:val="20"/>
          <w:szCs w:val="20"/>
        </w:rPr>
      </w:pPr>
      <w:r w:rsidRPr="00A71E5E">
        <w:rPr>
          <w:sz w:val="20"/>
          <w:szCs w:val="20"/>
        </w:rPr>
        <w:t xml:space="preserve">Consistency use number </w:t>
      </w:r>
      <w:r w:rsidRPr="00A71E5E">
        <w:rPr>
          <w:sz w:val="20"/>
          <w:szCs w:val="20"/>
          <w:rtl/>
        </w:rPr>
        <w:t>2</w:t>
      </w:r>
      <w:r w:rsidRPr="00A71E5E">
        <w:rPr>
          <w:sz w:val="20"/>
          <w:szCs w:val="20"/>
        </w:rPr>
        <w:t xml:space="preserve"> to indicate repeated letters also contained in the contents of the book and the </w:t>
      </w:r>
      <w:r>
        <w:rPr>
          <w:sz w:val="20"/>
          <w:szCs w:val="20"/>
        </w:rPr>
        <w:br/>
      </w:r>
      <w:r>
        <w:rPr>
          <w:sz w:val="20"/>
          <w:szCs w:val="20"/>
        </w:rPr>
        <w:tab/>
      </w:r>
      <w:r w:rsidRPr="00A71E5E">
        <w:rPr>
          <w:sz w:val="20"/>
          <w:szCs w:val="20"/>
        </w:rPr>
        <w:t>final note book</w:t>
      </w:r>
    </w:p>
    <w:p w:rsidR="00304503" w:rsidRPr="00A71E5E" w:rsidRDefault="00304503" w:rsidP="00304503">
      <w:pPr>
        <w:pStyle w:val="ListParagraph"/>
        <w:numPr>
          <w:ilvl w:val="0"/>
          <w:numId w:val="13"/>
        </w:numPr>
        <w:spacing w:before="0" w:after="0"/>
        <w:ind w:left="720" w:hanging="436"/>
        <w:rPr>
          <w:sz w:val="20"/>
          <w:szCs w:val="20"/>
        </w:rPr>
      </w:pPr>
      <w:r w:rsidRPr="00A71E5E">
        <w:rPr>
          <w:sz w:val="20"/>
          <w:szCs w:val="20"/>
        </w:rPr>
        <w:t>This was strengthened by the information conveyed by Azyumardi Azra</w:t>
      </w:r>
      <w:r>
        <w:rPr>
          <w:sz w:val="20"/>
          <w:szCs w:val="20"/>
        </w:rPr>
        <w:t>[</w:t>
      </w:r>
      <w:r w:rsidRPr="00A42B4C">
        <w:rPr>
          <w:rStyle w:val="EndnoteReference"/>
          <w:sz w:val="20"/>
          <w:szCs w:val="20"/>
        </w:rPr>
        <w:endnoteReference w:id="23"/>
      </w:r>
      <w:r w:rsidRPr="00A42B4C">
        <w:rPr>
          <w:sz w:val="20"/>
          <w:szCs w:val="20"/>
        </w:rPr>
        <w:t>]</w:t>
      </w:r>
      <w:r w:rsidRPr="00A71E5E">
        <w:rPr>
          <w:sz w:val="20"/>
          <w:szCs w:val="20"/>
        </w:rPr>
        <w:t xml:space="preserve">  that writing ability of Malay 'Abd al-Ra'uf al-Sinkili not as good as Arabic language.</w:t>
      </w:r>
    </w:p>
    <w:p w:rsidR="00304503" w:rsidRPr="00A71E5E" w:rsidRDefault="00304503" w:rsidP="005D6B11">
      <w:pPr>
        <w:spacing w:before="0" w:after="0"/>
        <w:ind w:left="0" w:firstLine="284"/>
        <w:rPr>
          <w:sz w:val="20"/>
          <w:szCs w:val="20"/>
        </w:rPr>
      </w:pPr>
      <w:r w:rsidRPr="00A71E5E">
        <w:rPr>
          <w:sz w:val="20"/>
          <w:szCs w:val="20"/>
        </w:rPr>
        <w:t xml:space="preserve">The author concludes that this work was the intellectual thought 'Abd al-Ra'uf Singkel which is written by his student David al-Rumi. Daud al-Rumi does not directly explain the source of the referenced 'Abd al-Ra'uf. However, he explained that there were several additions which he Dab at the behest of his teacher, that is on the stories mostly taken from the Tafsir al-Khazin and also </w:t>
      </w:r>
      <w:r w:rsidRPr="00A71E5E">
        <w:rPr>
          <w:i/>
          <w:iCs/>
          <w:sz w:val="20"/>
          <w:szCs w:val="20"/>
        </w:rPr>
        <w:t>ikhtilaf</w:t>
      </w:r>
      <w:r w:rsidRPr="00A71E5E">
        <w:rPr>
          <w:sz w:val="20"/>
          <w:szCs w:val="20"/>
        </w:rPr>
        <w:t xml:space="preserve"> </w:t>
      </w:r>
      <w:r w:rsidRPr="00A71E5E">
        <w:rPr>
          <w:i/>
          <w:iCs/>
          <w:sz w:val="20"/>
          <w:szCs w:val="20"/>
        </w:rPr>
        <w:t>qiraat</w:t>
      </w:r>
      <w:r w:rsidRPr="00A71E5E">
        <w:rPr>
          <w:sz w:val="20"/>
          <w:szCs w:val="20"/>
        </w:rPr>
        <w:t xml:space="preserve">. By doing so, I will explore the source of Tafsir Turjuman by compare inter textual and exclude additional form of stories and qiraat difference, because both of these are in addition to al-Rumi David behest of his teacher. But there is no explanation of what it was doing, in front of 'Abd al-Ra'uf or after' Abd al-Ra'uf died. So then, Tafsir al-Mustafid turjuman prepared based on the notion of 'Abd al-Ra'uf al-Sinkili to "throw" the story as well as existing </w:t>
      </w:r>
      <w:r w:rsidRPr="00A71E5E">
        <w:rPr>
          <w:i/>
          <w:iCs/>
          <w:sz w:val="20"/>
          <w:szCs w:val="20"/>
        </w:rPr>
        <w:t>ikhtilaf qiraat.</w:t>
      </w:r>
    </w:p>
    <w:p w:rsidR="00304503" w:rsidRPr="00A71E5E" w:rsidRDefault="00304503" w:rsidP="005D6B11">
      <w:pPr>
        <w:spacing w:before="0" w:after="0"/>
        <w:ind w:left="0" w:firstLine="284"/>
        <w:rPr>
          <w:sz w:val="20"/>
          <w:szCs w:val="20"/>
        </w:rPr>
      </w:pPr>
      <w:r w:rsidRPr="00A71E5E">
        <w:rPr>
          <w:sz w:val="20"/>
          <w:szCs w:val="20"/>
        </w:rPr>
        <w:t xml:space="preserve">Systematic of the book is written in full thirty chapters, a little introduction about the surah and its advantage, interpret globally, to include an additional form of </w:t>
      </w:r>
      <w:r w:rsidRPr="00A71E5E">
        <w:rPr>
          <w:i/>
          <w:iCs/>
          <w:sz w:val="20"/>
          <w:szCs w:val="20"/>
        </w:rPr>
        <w:t xml:space="preserve">qisshah </w:t>
      </w:r>
      <w:r w:rsidRPr="00A71E5E">
        <w:rPr>
          <w:sz w:val="20"/>
          <w:szCs w:val="20"/>
        </w:rPr>
        <w:t xml:space="preserve">referred to the Tafsir al-Khazin and Tafsir </w:t>
      </w:r>
      <w:r w:rsidRPr="00A71E5E">
        <w:rPr>
          <w:sz w:val="20"/>
          <w:szCs w:val="20"/>
        </w:rPr>
        <w:lastRenderedPageBreak/>
        <w:t xml:space="preserve">al-Baidhawi, featuring ikhtilaf of three </w:t>
      </w:r>
      <w:r w:rsidRPr="00A71E5E">
        <w:rPr>
          <w:i/>
          <w:iCs/>
          <w:sz w:val="20"/>
          <w:szCs w:val="20"/>
        </w:rPr>
        <w:t>qari’ qiraah</w:t>
      </w:r>
      <w:r w:rsidRPr="00A71E5E">
        <w:rPr>
          <w:sz w:val="20"/>
          <w:szCs w:val="20"/>
        </w:rPr>
        <w:t xml:space="preserve"> (marked with the word </w:t>
      </w:r>
      <w:r w:rsidRPr="00A71E5E">
        <w:rPr>
          <w:i/>
          <w:iCs/>
          <w:sz w:val="20"/>
          <w:szCs w:val="20"/>
        </w:rPr>
        <w:t>faidah</w:t>
      </w:r>
      <w:r w:rsidRPr="00A71E5E">
        <w:rPr>
          <w:sz w:val="20"/>
          <w:szCs w:val="20"/>
        </w:rPr>
        <w:t xml:space="preserve"> bounded by parentheses) as well as in some parts also shown qisshah containing sabab al-Nuzul. As the author mentioned that variety </w:t>
      </w:r>
      <w:r w:rsidRPr="00A71E5E">
        <w:rPr>
          <w:i/>
          <w:iCs/>
          <w:sz w:val="20"/>
          <w:szCs w:val="20"/>
        </w:rPr>
        <w:t>qiraat</w:t>
      </w:r>
      <w:r w:rsidRPr="00A71E5E">
        <w:rPr>
          <w:sz w:val="20"/>
          <w:szCs w:val="20"/>
        </w:rPr>
        <w:t xml:space="preserve"> and stories ehich contained in this work is an addition of David's al-Rumi.</w:t>
      </w:r>
    </w:p>
    <w:p w:rsidR="00304503" w:rsidRDefault="00304503" w:rsidP="005D6B11">
      <w:pPr>
        <w:pStyle w:val="ListParagraph"/>
        <w:spacing w:before="0" w:after="0"/>
        <w:ind w:left="284" w:hanging="284"/>
        <w:jc w:val="left"/>
        <w:rPr>
          <w:b/>
          <w:sz w:val="20"/>
          <w:szCs w:val="20"/>
        </w:rPr>
      </w:pPr>
    </w:p>
    <w:p w:rsidR="00304503" w:rsidRPr="00FD57CB" w:rsidRDefault="00304503" w:rsidP="005D6B11">
      <w:pPr>
        <w:spacing w:after="0"/>
        <w:ind w:left="0"/>
        <w:rPr>
          <w:b/>
          <w:bCs/>
          <w:sz w:val="20"/>
          <w:szCs w:val="20"/>
        </w:rPr>
      </w:pPr>
      <w:r w:rsidRPr="00930FB7">
        <w:rPr>
          <w:b/>
          <w:sz w:val="20"/>
          <w:szCs w:val="20"/>
        </w:rPr>
        <w:t xml:space="preserve">5. </w:t>
      </w:r>
      <w:r w:rsidRPr="00930FB7">
        <w:rPr>
          <w:b/>
          <w:bCs/>
          <w:sz w:val="20"/>
          <w:szCs w:val="20"/>
        </w:rPr>
        <w:t>SOURCES AND CONTENT OF TARJUMAN AL-MUSTAFID</w:t>
      </w:r>
    </w:p>
    <w:p w:rsidR="00304503" w:rsidRPr="00FD57CB" w:rsidRDefault="00304503" w:rsidP="005D6B11">
      <w:pPr>
        <w:spacing w:after="0"/>
        <w:ind w:left="0" w:firstLine="284"/>
        <w:rPr>
          <w:sz w:val="20"/>
          <w:szCs w:val="20"/>
        </w:rPr>
      </w:pPr>
      <w:r w:rsidRPr="00FD57CB">
        <w:rPr>
          <w:sz w:val="20"/>
          <w:szCs w:val="20"/>
        </w:rPr>
        <w:t>Azyumardi Azra</w:t>
      </w:r>
      <w:r>
        <w:rPr>
          <w:sz w:val="20"/>
          <w:szCs w:val="20"/>
        </w:rPr>
        <w:t>[</w:t>
      </w:r>
      <w:r w:rsidRPr="00A42B4C">
        <w:rPr>
          <w:rStyle w:val="EndnoteReference"/>
          <w:sz w:val="20"/>
          <w:szCs w:val="20"/>
        </w:rPr>
        <w:endnoteReference w:id="24"/>
      </w:r>
      <w:r>
        <w:rPr>
          <w:sz w:val="20"/>
          <w:szCs w:val="20"/>
        </w:rPr>
        <w:t>]</w:t>
      </w:r>
      <w:r w:rsidRPr="00FD57CB">
        <w:rPr>
          <w:sz w:val="20"/>
          <w:szCs w:val="20"/>
        </w:rPr>
        <w:t xml:space="preserve"> explained that, among Orientalists disagree about the source of this Tafsir. Snouck said that this Tafsir is a rough translation of the book al-Baidhawi. Snouck student, Rinkes as well as other Dutch scholars, namely Voorhoeve stated that the book is a translation of Tafsir al-Baidhawi and partly from Tafsir al-Jalalayn. Riddell stated that this book is a direct translation of Tafsir al-Jalalayn and additional information taken from other books.</w:t>
      </w:r>
      <w:r w:rsidRPr="00FD57CB">
        <w:rPr>
          <w:rStyle w:val="EndnoteReference"/>
          <w:i/>
          <w:iCs/>
          <w:sz w:val="20"/>
          <w:szCs w:val="20"/>
        </w:rPr>
        <w:t xml:space="preserve"> </w:t>
      </w:r>
      <w:r w:rsidRPr="00A42B4C">
        <w:rPr>
          <w:iCs/>
          <w:sz w:val="20"/>
          <w:szCs w:val="20"/>
        </w:rPr>
        <w:t>[</w:t>
      </w:r>
      <w:r w:rsidRPr="00A42B4C">
        <w:rPr>
          <w:rStyle w:val="EndnoteReference"/>
          <w:iCs/>
          <w:sz w:val="20"/>
          <w:szCs w:val="20"/>
        </w:rPr>
        <w:endnoteReference w:id="25"/>
      </w:r>
      <w:r w:rsidRPr="00A42B4C">
        <w:rPr>
          <w:iCs/>
          <w:sz w:val="20"/>
          <w:szCs w:val="20"/>
        </w:rPr>
        <w:t>]</w:t>
      </w:r>
      <w:r w:rsidRPr="00A42B4C">
        <w:rPr>
          <w:sz w:val="20"/>
          <w:szCs w:val="20"/>
        </w:rPr>
        <w:t xml:space="preserve"> </w:t>
      </w:r>
      <w:r w:rsidRPr="00FD57CB">
        <w:rPr>
          <w:sz w:val="20"/>
          <w:szCs w:val="20"/>
        </w:rPr>
        <w:t>Various opinions have showed that researchers still disagree about the source of Tafsir Turjuman.</w:t>
      </w:r>
    </w:p>
    <w:p w:rsidR="00304503" w:rsidRDefault="00304503" w:rsidP="005D6B11">
      <w:pPr>
        <w:spacing w:before="0" w:after="0" w:line="276" w:lineRule="auto"/>
        <w:ind w:left="0"/>
        <w:jc w:val="left"/>
        <w:rPr>
          <w:b/>
          <w:sz w:val="20"/>
          <w:szCs w:val="20"/>
        </w:rPr>
      </w:pPr>
    </w:p>
    <w:p w:rsidR="00304503" w:rsidRPr="00332FE5" w:rsidRDefault="00304503" w:rsidP="005D6B11">
      <w:pPr>
        <w:spacing w:after="0"/>
        <w:ind w:left="0"/>
        <w:rPr>
          <w:b/>
          <w:bCs/>
          <w:i/>
          <w:iCs/>
          <w:sz w:val="20"/>
          <w:szCs w:val="20"/>
        </w:rPr>
      </w:pPr>
      <w:r w:rsidRPr="00332FE5">
        <w:rPr>
          <w:b/>
          <w:sz w:val="20"/>
          <w:szCs w:val="20"/>
        </w:rPr>
        <w:t xml:space="preserve">6. </w:t>
      </w:r>
      <w:r w:rsidRPr="00332FE5">
        <w:rPr>
          <w:b/>
          <w:bCs/>
          <w:i/>
          <w:iCs/>
          <w:sz w:val="20"/>
          <w:szCs w:val="20"/>
        </w:rPr>
        <w:t>TURJUMAN AL-MUSTAFID’S REFERENCES</w:t>
      </w:r>
    </w:p>
    <w:p w:rsidR="00304503" w:rsidRPr="00695006" w:rsidRDefault="00304503" w:rsidP="005D6B11">
      <w:pPr>
        <w:spacing w:after="0"/>
        <w:ind w:left="0" w:firstLine="284"/>
        <w:rPr>
          <w:sz w:val="20"/>
          <w:szCs w:val="20"/>
        </w:rPr>
      </w:pPr>
      <w:r w:rsidRPr="00695006">
        <w:rPr>
          <w:sz w:val="20"/>
          <w:szCs w:val="20"/>
        </w:rPr>
        <w:t>Turjuman al-Mustafid often 'accused of' as a Malay translation of the book by Anwar al-Tanzil wa Asrar al-Ta'wil works of Priest Nasiruddin al-Baidhawi</w:t>
      </w:r>
      <w:r>
        <w:rPr>
          <w:sz w:val="20"/>
          <w:szCs w:val="20"/>
        </w:rPr>
        <w:t>[</w:t>
      </w:r>
      <w:r w:rsidRPr="00A42B4C">
        <w:rPr>
          <w:rStyle w:val="EndnoteReference"/>
          <w:sz w:val="20"/>
          <w:szCs w:val="20"/>
        </w:rPr>
        <w:endnoteReference w:id="26"/>
      </w:r>
      <w:r>
        <w:rPr>
          <w:sz w:val="20"/>
          <w:szCs w:val="20"/>
        </w:rPr>
        <w:t>]</w:t>
      </w:r>
      <w:r w:rsidRPr="00695006">
        <w:rPr>
          <w:sz w:val="20"/>
          <w:szCs w:val="20"/>
        </w:rPr>
        <w:t xml:space="preserve"> who died in 685 H.</w:t>
      </w:r>
      <w:r>
        <w:rPr>
          <w:sz w:val="20"/>
          <w:szCs w:val="20"/>
        </w:rPr>
        <w:t>[</w:t>
      </w:r>
      <w:r w:rsidRPr="00A42B4C">
        <w:rPr>
          <w:rStyle w:val="EndnoteReference"/>
          <w:sz w:val="20"/>
          <w:szCs w:val="20"/>
        </w:rPr>
        <w:endnoteReference w:id="27"/>
      </w:r>
      <w:r>
        <w:rPr>
          <w:sz w:val="20"/>
          <w:szCs w:val="20"/>
        </w:rPr>
        <w:t>]</w:t>
      </w:r>
      <w:r w:rsidRPr="00695006">
        <w:rPr>
          <w:sz w:val="20"/>
          <w:szCs w:val="20"/>
        </w:rPr>
        <w:t xml:space="preserve">  The accusation is with some reasons, there are at least three reasons can deliver a researcher who does not recite in detail to assert that Turjuman is a translation from Baidhawi.</w:t>
      </w:r>
    </w:p>
    <w:p w:rsidR="00304503" w:rsidRPr="00695006" w:rsidRDefault="00304503" w:rsidP="0098511B">
      <w:pPr>
        <w:pStyle w:val="ListParagraph"/>
        <w:numPr>
          <w:ilvl w:val="0"/>
          <w:numId w:val="14"/>
        </w:numPr>
        <w:spacing w:before="0" w:after="0"/>
        <w:ind w:left="0" w:firstLine="284"/>
        <w:rPr>
          <w:sz w:val="20"/>
          <w:szCs w:val="20"/>
        </w:rPr>
      </w:pPr>
      <w:r w:rsidRPr="00695006">
        <w:rPr>
          <w:sz w:val="20"/>
          <w:szCs w:val="20"/>
        </w:rPr>
        <w:t xml:space="preserve">On the cover of the book is written </w:t>
      </w:r>
      <w:r w:rsidRPr="00695006">
        <w:rPr>
          <w:i/>
          <w:iCs/>
          <w:sz w:val="20"/>
          <w:szCs w:val="20"/>
        </w:rPr>
        <w:t>Turjuman al-Mustafid wa huwa al-Tarjamatu al-Jawiyah li Tafsir</w:t>
      </w:r>
      <w:r>
        <w:rPr>
          <w:i/>
          <w:iCs/>
          <w:sz w:val="20"/>
          <w:szCs w:val="20"/>
        </w:rPr>
        <w:br/>
        <w:t xml:space="preserve">              </w:t>
      </w:r>
      <w:r w:rsidRPr="00695006">
        <w:rPr>
          <w:i/>
          <w:iCs/>
          <w:sz w:val="20"/>
          <w:szCs w:val="20"/>
        </w:rPr>
        <w:t xml:space="preserve"> al-Musamma Anwar al-Tanzil wa Asrar al-Ta’wil.</w:t>
      </w:r>
    </w:p>
    <w:p w:rsidR="00304503" w:rsidRPr="00695006" w:rsidRDefault="00304503" w:rsidP="0098511B">
      <w:pPr>
        <w:pStyle w:val="ListParagraph"/>
        <w:numPr>
          <w:ilvl w:val="0"/>
          <w:numId w:val="14"/>
        </w:numPr>
        <w:spacing w:before="0" w:after="0"/>
        <w:ind w:left="0" w:firstLine="284"/>
        <w:rPr>
          <w:sz w:val="20"/>
          <w:szCs w:val="20"/>
        </w:rPr>
      </w:pPr>
      <w:r w:rsidRPr="00695006">
        <w:rPr>
          <w:sz w:val="20"/>
          <w:szCs w:val="20"/>
        </w:rPr>
        <w:t xml:space="preserve">At the end of </w:t>
      </w:r>
      <w:r w:rsidRPr="00695006">
        <w:rPr>
          <w:i/>
          <w:iCs/>
          <w:sz w:val="20"/>
          <w:szCs w:val="20"/>
        </w:rPr>
        <w:t>Turjuman</w:t>
      </w:r>
      <w:r w:rsidRPr="00695006">
        <w:rPr>
          <w:sz w:val="20"/>
          <w:szCs w:val="20"/>
        </w:rPr>
        <w:t xml:space="preserve">, occur an introduction from editors which explaining that the book is a </w:t>
      </w:r>
      <w:r>
        <w:rPr>
          <w:sz w:val="20"/>
          <w:szCs w:val="20"/>
        </w:rPr>
        <w:br/>
        <w:t xml:space="preserve">               </w:t>
      </w:r>
      <w:r w:rsidRPr="00695006">
        <w:rPr>
          <w:sz w:val="20"/>
          <w:szCs w:val="20"/>
        </w:rPr>
        <w:t xml:space="preserve">translation of the book </w:t>
      </w:r>
      <w:r w:rsidRPr="00695006">
        <w:rPr>
          <w:i/>
          <w:iCs/>
          <w:sz w:val="20"/>
          <w:szCs w:val="20"/>
        </w:rPr>
        <w:t>al-Baidhawi</w:t>
      </w:r>
      <w:r w:rsidRPr="00695006">
        <w:rPr>
          <w:sz w:val="20"/>
          <w:szCs w:val="20"/>
        </w:rPr>
        <w:t>. The proofreaders teams are Ahmad al-Fatthani, Daud al-Fatthani,</w:t>
      </w:r>
      <w:r w:rsidRPr="00695006">
        <w:rPr>
          <w:rStyle w:val="EndnoteReference"/>
          <w:sz w:val="20"/>
          <w:szCs w:val="20"/>
        </w:rPr>
        <w:t xml:space="preserve"> </w:t>
      </w:r>
      <w:r>
        <w:rPr>
          <w:sz w:val="20"/>
          <w:szCs w:val="20"/>
        </w:rPr>
        <w:br/>
        <w:t xml:space="preserve">               </w:t>
      </w:r>
      <w:r w:rsidRPr="00695006">
        <w:rPr>
          <w:sz w:val="20"/>
          <w:szCs w:val="20"/>
        </w:rPr>
        <w:t>and Idris Kelantani.</w:t>
      </w:r>
    </w:p>
    <w:p w:rsidR="00304503" w:rsidRPr="00695006" w:rsidRDefault="00304503" w:rsidP="0098511B">
      <w:pPr>
        <w:pStyle w:val="ListParagraph"/>
        <w:numPr>
          <w:ilvl w:val="0"/>
          <w:numId w:val="14"/>
        </w:numPr>
        <w:spacing w:before="0" w:after="0"/>
        <w:ind w:left="0" w:firstLine="284"/>
        <w:rPr>
          <w:sz w:val="20"/>
          <w:szCs w:val="20"/>
        </w:rPr>
      </w:pPr>
      <w:r w:rsidRPr="00695006">
        <w:rPr>
          <w:sz w:val="20"/>
          <w:szCs w:val="20"/>
        </w:rPr>
        <w:t xml:space="preserve">Lots of number of inter-textual references to this work, in the form of benefit/ </w:t>
      </w:r>
      <w:r w:rsidRPr="00695006">
        <w:rPr>
          <w:i/>
          <w:iCs/>
          <w:sz w:val="20"/>
          <w:szCs w:val="20"/>
        </w:rPr>
        <w:t xml:space="preserve">fadhilah surah </w:t>
      </w:r>
      <w:r>
        <w:rPr>
          <w:i/>
          <w:iCs/>
          <w:sz w:val="20"/>
          <w:szCs w:val="20"/>
        </w:rPr>
        <w:br/>
      </w:r>
      <w:r>
        <w:rPr>
          <w:i/>
          <w:iCs/>
          <w:sz w:val="20"/>
          <w:szCs w:val="20"/>
        </w:rPr>
        <w:tab/>
      </w:r>
      <w:r w:rsidRPr="00695006">
        <w:rPr>
          <w:sz w:val="20"/>
          <w:szCs w:val="20"/>
        </w:rPr>
        <w:t>description and explanation.</w:t>
      </w:r>
    </w:p>
    <w:p w:rsidR="00304503" w:rsidRPr="00695006" w:rsidRDefault="00304503" w:rsidP="005D6B11">
      <w:pPr>
        <w:spacing w:after="0"/>
        <w:ind w:left="0" w:firstLine="284"/>
        <w:rPr>
          <w:sz w:val="20"/>
          <w:szCs w:val="20"/>
        </w:rPr>
      </w:pPr>
      <w:r w:rsidRPr="00695006">
        <w:rPr>
          <w:sz w:val="20"/>
          <w:szCs w:val="20"/>
        </w:rPr>
        <w:t>Although this opinion is strong enough relied upon, however, if we read carefully, there are many differences between the book of Turjuman with al-Baidhawi even from the first page. Having regard to the pattern of the same work, but with a different way of citation book. As alluded to that, inter textual book of al-Baidhawi as an addition from David al-Rumi. The second book was referenced in Turjuman is the book of al-Ta'wil Lubab fi Ma'ani Alauddin al-Tanzil work of Abu al-Hasan Ali bin Muhammad bin Ibrahim bin 'Umar ibn Khalil al-Bagdadi al-Shafi'i al-Shufi.</w:t>
      </w:r>
      <w:r w:rsidRPr="00695006">
        <w:rPr>
          <w:rStyle w:val="EndnoteReference"/>
          <w:sz w:val="20"/>
          <w:szCs w:val="20"/>
        </w:rPr>
        <w:t xml:space="preserve"> </w:t>
      </w:r>
      <w:r>
        <w:rPr>
          <w:sz w:val="20"/>
          <w:szCs w:val="20"/>
        </w:rPr>
        <w:t>[</w:t>
      </w:r>
      <w:r w:rsidRPr="004766D9">
        <w:rPr>
          <w:rStyle w:val="EndnoteReference"/>
          <w:sz w:val="20"/>
          <w:szCs w:val="20"/>
        </w:rPr>
        <w:endnoteReference w:id="28"/>
      </w:r>
      <w:r w:rsidRPr="004766D9">
        <w:rPr>
          <w:sz w:val="20"/>
          <w:szCs w:val="20"/>
        </w:rPr>
        <w:t>]</w:t>
      </w:r>
      <w:r w:rsidRPr="00695006">
        <w:rPr>
          <w:sz w:val="20"/>
          <w:szCs w:val="20"/>
        </w:rPr>
        <w:t xml:space="preserve"> He died in the year 741 H.</w:t>
      </w:r>
      <w:r w:rsidRPr="00695006">
        <w:rPr>
          <w:rStyle w:val="EndnoteReference"/>
          <w:sz w:val="20"/>
          <w:szCs w:val="20"/>
        </w:rPr>
        <w:t xml:space="preserve"> </w:t>
      </w:r>
      <w:r>
        <w:rPr>
          <w:sz w:val="20"/>
          <w:szCs w:val="20"/>
        </w:rPr>
        <w:t>[</w:t>
      </w:r>
      <w:r w:rsidRPr="00A42B4C">
        <w:rPr>
          <w:rStyle w:val="EndnoteReference"/>
          <w:sz w:val="20"/>
          <w:szCs w:val="20"/>
        </w:rPr>
        <w:endnoteReference w:id="29"/>
      </w:r>
      <w:r>
        <w:rPr>
          <w:sz w:val="20"/>
          <w:szCs w:val="20"/>
        </w:rPr>
        <w:t>]</w:t>
      </w:r>
      <w:r w:rsidRPr="00695006">
        <w:rPr>
          <w:sz w:val="20"/>
          <w:szCs w:val="20"/>
        </w:rPr>
        <w:t xml:space="preserve">  This Tafsir known as the Tafsir al-Khazin.</w:t>
      </w:r>
      <w:r w:rsidRPr="00695006">
        <w:rPr>
          <w:rStyle w:val="EndnoteReference"/>
          <w:i/>
          <w:iCs/>
          <w:sz w:val="20"/>
          <w:szCs w:val="20"/>
        </w:rPr>
        <w:t xml:space="preserve"> </w:t>
      </w:r>
      <w:r w:rsidRPr="00A42B4C">
        <w:rPr>
          <w:iCs/>
          <w:sz w:val="20"/>
          <w:szCs w:val="20"/>
        </w:rPr>
        <w:t>[</w:t>
      </w:r>
      <w:r w:rsidRPr="00A42B4C">
        <w:rPr>
          <w:rStyle w:val="EndnoteReference"/>
          <w:iCs/>
          <w:sz w:val="20"/>
          <w:szCs w:val="20"/>
        </w:rPr>
        <w:endnoteReference w:id="30"/>
      </w:r>
      <w:r w:rsidRPr="00A42B4C">
        <w:rPr>
          <w:iCs/>
          <w:sz w:val="20"/>
          <w:szCs w:val="20"/>
        </w:rPr>
        <w:t>]</w:t>
      </w:r>
      <w:r w:rsidRPr="00695006">
        <w:rPr>
          <w:sz w:val="20"/>
          <w:szCs w:val="20"/>
        </w:rPr>
        <w:t xml:space="preserve"> Daud al-Rumi explained that many additional </w:t>
      </w:r>
      <w:r w:rsidRPr="00695006">
        <w:rPr>
          <w:i/>
          <w:iCs/>
          <w:sz w:val="20"/>
          <w:szCs w:val="20"/>
        </w:rPr>
        <w:t>qisshah</w:t>
      </w:r>
      <w:r w:rsidRPr="00695006">
        <w:rPr>
          <w:sz w:val="20"/>
          <w:szCs w:val="20"/>
        </w:rPr>
        <w:t xml:space="preserve"> (story) which he took from </w:t>
      </w:r>
      <w:r w:rsidRPr="00695006">
        <w:rPr>
          <w:i/>
          <w:iCs/>
          <w:sz w:val="20"/>
          <w:szCs w:val="20"/>
        </w:rPr>
        <w:t>tafsir al-Khazin.</w:t>
      </w:r>
    </w:p>
    <w:p w:rsidR="00304503" w:rsidRPr="00695006" w:rsidRDefault="00304503" w:rsidP="005D6B11">
      <w:pPr>
        <w:spacing w:after="0"/>
        <w:ind w:left="0" w:firstLine="284"/>
        <w:rPr>
          <w:sz w:val="20"/>
          <w:szCs w:val="20"/>
        </w:rPr>
      </w:pPr>
      <w:r w:rsidRPr="00695006">
        <w:rPr>
          <w:sz w:val="20"/>
          <w:szCs w:val="20"/>
        </w:rPr>
        <w:t xml:space="preserve">Other book was referenced in Turjuman is </w:t>
      </w:r>
      <w:r w:rsidRPr="00695006">
        <w:rPr>
          <w:i/>
          <w:iCs/>
          <w:sz w:val="20"/>
          <w:szCs w:val="20"/>
        </w:rPr>
        <w:t xml:space="preserve">Ma’alim al-Tanzil fi Tafsir al-Quran </w:t>
      </w:r>
      <w:r w:rsidRPr="00695006">
        <w:rPr>
          <w:sz w:val="20"/>
          <w:szCs w:val="20"/>
        </w:rPr>
        <w:t>by Abu Muhammad al-Husain ibn Mas'ud ibn Muhammad ibn Farra 'al-Baghawi al-Shafi'i (d510H).</w:t>
      </w:r>
      <w:r>
        <w:rPr>
          <w:sz w:val="20"/>
          <w:szCs w:val="20"/>
        </w:rPr>
        <w:t>[</w:t>
      </w:r>
      <w:r w:rsidRPr="004766D9">
        <w:rPr>
          <w:rStyle w:val="EndnoteReference"/>
          <w:sz w:val="20"/>
          <w:szCs w:val="20"/>
        </w:rPr>
        <w:endnoteReference w:id="31"/>
      </w:r>
      <w:r>
        <w:rPr>
          <w:sz w:val="20"/>
          <w:szCs w:val="20"/>
        </w:rPr>
        <w:t>]</w:t>
      </w:r>
      <w:r w:rsidRPr="00695006">
        <w:rPr>
          <w:sz w:val="20"/>
          <w:szCs w:val="20"/>
        </w:rPr>
        <w:t xml:space="preserve"> This book is famous as the Tafsir al-Baghawi. The author found, only one time mention of Tafsir al-Baghawi as a reference. This book can be found in the introduction surah al-Fatihah and surah al-Nur. In addition, there are several books that are also mentioned in al-Tsa'labi Turjuman, and Nihayah.</w:t>
      </w:r>
      <w:r w:rsidRPr="00695006">
        <w:rPr>
          <w:rStyle w:val="EndnoteReference"/>
          <w:i/>
          <w:iCs/>
          <w:sz w:val="20"/>
          <w:szCs w:val="20"/>
        </w:rPr>
        <w:t xml:space="preserve"> </w:t>
      </w:r>
      <w:r w:rsidRPr="004766D9">
        <w:rPr>
          <w:iCs/>
          <w:sz w:val="20"/>
          <w:szCs w:val="20"/>
        </w:rPr>
        <w:t>[</w:t>
      </w:r>
      <w:r w:rsidRPr="004766D9">
        <w:rPr>
          <w:rStyle w:val="EndnoteReference"/>
          <w:iCs/>
          <w:sz w:val="20"/>
          <w:szCs w:val="20"/>
        </w:rPr>
        <w:endnoteReference w:id="32"/>
      </w:r>
      <w:r w:rsidRPr="004766D9">
        <w:rPr>
          <w:iCs/>
          <w:sz w:val="20"/>
          <w:szCs w:val="20"/>
        </w:rPr>
        <w:t xml:space="preserve">] </w:t>
      </w:r>
      <w:r w:rsidRPr="00695006">
        <w:rPr>
          <w:sz w:val="20"/>
          <w:szCs w:val="20"/>
        </w:rPr>
        <w:t xml:space="preserve"> It is interesting to be disclosed that, the books that mention as a reference of 'Abd al-Ra'uf, but according to the analysis of the author its is not. Some of the book is the material referred to by David al-Rumi in providing additional and or explanation of the work of his lecturer. Indication that shows it is any mention to every book as the source inter textual separated from the discussion or verses tafsir with the words </w:t>
      </w:r>
      <w:r w:rsidRPr="00695006">
        <w:rPr>
          <w:i/>
          <w:iCs/>
          <w:sz w:val="20"/>
          <w:szCs w:val="20"/>
        </w:rPr>
        <w:t>faidah or qisshah</w:t>
      </w:r>
      <w:r w:rsidRPr="00695006">
        <w:rPr>
          <w:sz w:val="20"/>
          <w:szCs w:val="20"/>
        </w:rPr>
        <w:t xml:space="preserve">. This differs from the interpretation of verses unsourced, on the other hand more references in accordance with this tafsir is </w:t>
      </w:r>
      <w:r w:rsidRPr="00695006">
        <w:rPr>
          <w:i/>
          <w:iCs/>
          <w:sz w:val="20"/>
          <w:szCs w:val="20"/>
        </w:rPr>
        <w:t>Tafsir Jalalain</w:t>
      </w:r>
      <w:r w:rsidRPr="00695006">
        <w:rPr>
          <w:sz w:val="20"/>
          <w:szCs w:val="20"/>
        </w:rPr>
        <w:t>.</w:t>
      </w:r>
    </w:p>
    <w:p w:rsidR="00304503" w:rsidRPr="00695006" w:rsidRDefault="00304503" w:rsidP="005D6B11">
      <w:pPr>
        <w:spacing w:after="0"/>
        <w:ind w:left="0" w:firstLine="284"/>
        <w:rPr>
          <w:sz w:val="20"/>
          <w:szCs w:val="20"/>
        </w:rPr>
      </w:pPr>
      <w:r w:rsidRPr="00695006">
        <w:rPr>
          <w:sz w:val="20"/>
          <w:szCs w:val="20"/>
        </w:rPr>
        <w:t>Jalalain only once mentioned in Turjuman,</w:t>
      </w:r>
      <w:r w:rsidRPr="00695006">
        <w:rPr>
          <w:rStyle w:val="EndnoteReference"/>
          <w:sz w:val="20"/>
          <w:szCs w:val="20"/>
        </w:rPr>
        <w:t xml:space="preserve"> </w:t>
      </w:r>
      <w:r>
        <w:rPr>
          <w:sz w:val="20"/>
          <w:szCs w:val="20"/>
        </w:rPr>
        <w:t>[</w:t>
      </w:r>
      <w:r w:rsidRPr="004766D9">
        <w:rPr>
          <w:rStyle w:val="EndnoteReference"/>
          <w:sz w:val="20"/>
          <w:szCs w:val="20"/>
        </w:rPr>
        <w:endnoteReference w:id="33"/>
      </w:r>
      <w:r>
        <w:rPr>
          <w:sz w:val="20"/>
          <w:szCs w:val="20"/>
        </w:rPr>
        <w:t>]</w:t>
      </w:r>
      <w:r w:rsidRPr="00695006">
        <w:rPr>
          <w:sz w:val="20"/>
          <w:szCs w:val="20"/>
        </w:rPr>
        <w:t xml:space="preserve"> but if examined closely, will find similarities between the two Tafsir books. The similarity is evident in many ways:</w:t>
      </w:r>
    </w:p>
    <w:p w:rsidR="00304503" w:rsidRPr="00695006" w:rsidRDefault="00304503" w:rsidP="0098511B">
      <w:pPr>
        <w:pStyle w:val="ListParagraph"/>
        <w:numPr>
          <w:ilvl w:val="0"/>
          <w:numId w:val="15"/>
        </w:numPr>
        <w:spacing w:before="0" w:after="0"/>
        <w:ind w:left="0" w:firstLine="284"/>
        <w:rPr>
          <w:sz w:val="20"/>
          <w:szCs w:val="20"/>
        </w:rPr>
      </w:pPr>
      <w:r w:rsidRPr="00695006">
        <w:rPr>
          <w:sz w:val="20"/>
          <w:szCs w:val="20"/>
        </w:rPr>
        <w:t xml:space="preserve">The existence of common </w:t>
      </w:r>
      <w:r w:rsidRPr="00695006">
        <w:rPr>
          <w:i/>
          <w:iCs/>
          <w:sz w:val="20"/>
          <w:szCs w:val="20"/>
        </w:rPr>
        <w:t>Sabab al-Nuzul</w:t>
      </w:r>
      <w:r w:rsidRPr="00695006">
        <w:rPr>
          <w:sz w:val="20"/>
          <w:szCs w:val="20"/>
        </w:rPr>
        <w:t xml:space="preserve"> between Turjuman al-Mustafid on page 84 with Jalalain on </w:t>
      </w:r>
      <w:r>
        <w:rPr>
          <w:sz w:val="20"/>
          <w:szCs w:val="20"/>
        </w:rPr>
        <w:br/>
      </w:r>
      <w:r>
        <w:rPr>
          <w:sz w:val="20"/>
          <w:szCs w:val="20"/>
        </w:rPr>
        <w:tab/>
      </w:r>
      <w:r w:rsidRPr="00695006">
        <w:rPr>
          <w:sz w:val="20"/>
          <w:szCs w:val="20"/>
        </w:rPr>
        <w:t xml:space="preserve">page 106. Although there are similarities between the two, was not mentioned direct reference to </w:t>
      </w:r>
      <w:r>
        <w:rPr>
          <w:sz w:val="20"/>
          <w:szCs w:val="20"/>
        </w:rPr>
        <w:br/>
      </w:r>
      <w:r>
        <w:rPr>
          <w:sz w:val="20"/>
          <w:szCs w:val="20"/>
        </w:rPr>
        <w:tab/>
      </w:r>
      <w:r w:rsidRPr="00695006">
        <w:rPr>
          <w:sz w:val="20"/>
          <w:szCs w:val="20"/>
        </w:rPr>
        <w:t>Jalalain.</w:t>
      </w:r>
    </w:p>
    <w:p w:rsidR="00304503" w:rsidRPr="00695006" w:rsidRDefault="00304503" w:rsidP="0098511B">
      <w:pPr>
        <w:pStyle w:val="ListParagraph"/>
        <w:numPr>
          <w:ilvl w:val="0"/>
          <w:numId w:val="15"/>
        </w:numPr>
        <w:spacing w:before="0" w:after="0"/>
        <w:ind w:left="0" w:firstLine="284"/>
        <w:rPr>
          <w:sz w:val="20"/>
          <w:szCs w:val="20"/>
        </w:rPr>
      </w:pPr>
      <w:r w:rsidRPr="00695006">
        <w:rPr>
          <w:sz w:val="20"/>
          <w:szCs w:val="20"/>
        </w:rPr>
        <w:t xml:space="preserve">Similarity of explanation </w:t>
      </w:r>
      <w:r w:rsidRPr="00695006">
        <w:rPr>
          <w:i/>
          <w:iCs/>
          <w:sz w:val="20"/>
          <w:szCs w:val="20"/>
        </w:rPr>
        <w:t>Nasikh-Mansukh</w:t>
      </w:r>
      <w:r w:rsidRPr="00695006">
        <w:rPr>
          <w:sz w:val="20"/>
          <w:szCs w:val="20"/>
        </w:rPr>
        <w:t xml:space="preserve">, in the book Turjuman page 30 with Jalalain on page 39. </w:t>
      </w:r>
      <w:r>
        <w:rPr>
          <w:sz w:val="20"/>
          <w:szCs w:val="20"/>
        </w:rPr>
        <w:br/>
      </w:r>
      <w:r>
        <w:rPr>
          <w:sz w:val="20"/>
          <w:szCs w:val="20"/>
        </w:rPr>
        <w:tab/>
      </w:r>
      <w:r w:rsidRPr="00695006">
        <w:rPr>
          <w:sz w:val="20"/>
          <w:szCs w:val="20"/>
        </w:rPr>
        <w:t>These two parts are not mentioned in the verse, but in the middle of the verse.</w:t>
      </w:r>
    </w:p>
    <w:p w:rsidR="00304503" w:rsidRPr="00695006" w:rsidRDefault="00304503" w:rsidP="0098511B">
      <w:pPr>
        <w:pStyle w:val="ListParagraph"/>
        <w:numPr>
          <w:ilvl w:val="0"/>
          <w:numId w:val="15"/>
        </w:numPr>
        <w:spacing w:before="0" w:after="0"/>
        <w:ind w:left="0" w:firstLine="284"/>
        <w:rPr>
          <w:sz w:val="20"/>
          <w:szCs w:val="20"/>
        </w:rPr>
      </w:pPr>
      <w:r w:rsidRPr="00695006">
        <w:rPr>
          <w:sz w:val="20"/>
          <w:szCs w:val="20"/>
        </w:rPr>
        <w:t xml:space="preserve">If the hypothesis of the authors on the use of inter textual references, written by David al- Rumi to be </w:t>
      </w:r>
      <w:r>
        <w:rPr>
          <w:sz w:val="20"/>
          <w:szCs w:val="20"/>
        </w:rPr>
        <w:br/>
      </w:r>
      <w:r>
        <w:rPr>
          <w:sz w:val="20"/>
          <w:szCs w:val="20"/>
        </w:rPr>
        <w:tab/>
      </w:r>
      <w:r w:rsidRPr="00695006">
        <w:rPr>
          <w:sz w:val="20"/>
          <w:szCs w:val="20"/>
        </w:rPr>
        <w:t xml:space="preserve">believed, then the tafsir by 'Abd al-Ra'uf very similar to Jalalain. But the study of language (nahwu) </w:t>
      </w:r>
      <w:r>
        <w:rPr>
          <w:sz w:val="20"/>
          <w:szCs w:val="20"/>
        </w:rPr>
        <w:br/>
      </w:r>
      <w:r>
        <w:rPr>
          <w:sz w:val="20"/>
          <w:szCs w:val="20"/>
        </w:rPr>
        <w:tab/>
      </w:r>
      <w:r w:rsidRPr="00695006">
        <w:rPr>
          <w:sz w:val="20"/>
          <w:szCs w:val="20"/>
        </w:rPr>
        <w:t>which contained in Jalalain discarded or not translated.</w:t>
      </w:r>
    </w:p>
    <w:p w:rsidR="00304503" w:rsidRPr="00F015DD" w:rsidRDefault="00304503" w:rsidP="0098511B">
      <w:pPr>
        <w:pStyle w:val="ListParagraph"/>
        <w:numPr>
          <w:ilvl w:val="0"/>
          <w:numId w:val="15"/>
        </w:numPr>
        <w:spacing w:before="0" w:after="0"/>
        <w:ind w:left="0" w:firstLine="284"/>
        <w:rPr>
          <w:sz w:val="20"/>
          <w:szCs w:val="20"/>
        </w:rPr>
      </w:pPr>
      <w:r w:rsidRPr="00695006">
        <w:rPr>
          <w:sz w:val="20"/>
          <w:szCs w:val="20"/>
        </w:rPr>
        <w:t xml:space="preserve">Abd al-Ra'uf been studied to al-Qusyasyi and Ibrahim al-Kurani which has Isnad that up to the author </w:t>
      </w:r>
      <w:r>
        <w:rPr>
          <w:sz w:val="20"/>
          <w:szCs w:val="20"/>
        </w:rPr>
        <w:br/>
      </w:r>
      <w:r>
        <w:rPr>
          <w:sz w:val="20"/>
          <w:szCs w:val="20"/>
        </w:rPr>
        <w:tab/>
      </w:r>
      <w:r w:rsidRPr="00695006">
        <w:rPr>
          <w:sz w:val="20"/>
          <w:szCs w:val="20"/>
        </w:rPr>
        <w:t>of Jalalain.</w:t>
      </w:r>
    </w:p>
    <w:p w:rsidR="00304503" w:rsidRPr="00855BF0" w:rsidRDefault="00304503" w:rsidP="005D6B11">
      <w:pPr>
        <w:spacing w:after="0"/>
        <w:ind w:left="0" w:firstLine="284"/>
        <w:rPr>
          <w:sz w:val="20"/>
          <w:szCs w:val="20"/>
        </w:rPr>
      </w:pPr>
      <w:r w:rsidRPr="00F015DD">
        <w:rPr>
          <w:sz w:val="20"/>
          <w:szCs w:val="20"/>
        </w:rPr>
        <w:t xml:space="preserve">Thus Turjuman al-Mustafid book is a translation of 'Abd al-Ra'uf, once selected and discarded parts that are not in accordance with the condition of the people of Aceh at the time. Portions were dumped by 'Abd al-Ra'uf </w:t>
      </w:r>
      <w:r w:rsidRPr="00F015DD">
        <w:rPr>
          <w:sz w:val="20"/>
          <w:szCs w:val="20"/>
        </w:rPr>
        <w:lastRenderedPageBreak/>
        <w:t>is that many discussions nahwu included in Jalalain. Here are some examples of interpretation Abd al-Ra'uf Singkel about the position of women and compare it with the book of al-Baidhawi and al-Jalalayn.</w:t>
      </w:r>
      <w:r>
        <w:rPr>
          <w:sz w:val="20"/>
          <w:szCs w:val="20"/>
        </w:rPr>
        <w:br/>
      </w:r>
    </w:p>
    <w:p w:rsidR="00304503" w:rsidRPr="00A42B4C" w:rsidRDefault="00304503" w:rsidP="005D6B11">
      <w:pPr>
        <w:spacing w:after="0"/>
        <w:ind w:left="0"/>
        <w:rPr>
          <w:b/>
          <w:bCs/>
          <w:sz w:val="20"/>
          <w:szCs w:val="20"/>
        </w:rPr>
      </w:pPr>
      <w:r w:rsidRPr="00DD53CB">
        <w:rPr>
          <w:b/>
          <w:sz w:val="20"/>
          <w:szCs w:val="20"/>
        </w:rPr>
        <w:t xml:space="preserve">7. </w:t>
      </w:r>
      <w:r w:rsidRPr="00A42B4C">
        <w:rPr>
          <w:b/>
          <w:bCs/>
          <w:sz w:val="20"/>
          <w:szCs w:val="20"/>
        </w:rPr>
        <w:t>EXPLANATION ABOUT FIRST SURAH AND ITS FADHILAH</w:t>
      </w:r>
    </w:p>
    <w:p w:rsidR="00304503" w:rsidRPr="00A42B4C" w:rsidRDefault="00304503" w:rsidP="005D6B11">
      <w:pPr>
        <w:spacing w:before="0" w:after="0"/>
        <w:ind w:left="0" w:firstLine="284"/>
        <w:rPr>
          <w:b/>
          <w:bCs/>
          <w:sz w:val="20"/>
          <w:szCs w:val="20"/>
        </w:rPr>
      </w:pPr>
      <w:r w:rsidRPr="00A42B4C">
        <w:rPr>
          <w:sz w:val="20"/>
          <w:szCs w:val="20"/>
        </w:rPr>
        <w:t>Before explaining about the interpretation of a Surah, previously Daud al-Rumi add a brief introduction about the Surah. For example, when explaining Surah al-Fatihah, he will first explain in malay “</w:t>
      </w:r>
      <w:r w:rsidRPr="00A42B4C">
        <w:rPr>
          <w:i/>
          <w:iCs/>
          <w:sz w:val="20"/>
          <w:szCs w:val="20"/>
        </w:rPr>
        <w:t>surat al-Fatihah terdiri dari tujuh ayat, yang dibangsakan ia kepada Makkah yakni yang turun di Makkah maka tersebut di dalam Baidhawi bahwa fatihah itu penawar bagi tiap-tiap penyakit dan seterusnya …</w:t>
      </w:r>
      <w:r w:rsidRPr="00A42B4C">
        <w:rPr>
          <w:sz w:val="20"/>
          <w:szCs w:val="20"/>
        </w:rPr>
        <w:t>”</w:t>
      </w:r>
      <w:r>
        <w:rPr>
          <w:sz w:val="20"/>
          <w:szCs w:val="20"/>
        </w:rPr>
        <w:t>[</w:t>
      </w:r>
      <w:r w:rsidRPr="004766D9">
        <w:rPr>
          <w:rStyle w:val="EndnoteReference"/>
          <w:sz w:val="20"/>
          <w:szCs w:val="20"/>
        </w:rPr>
        <w:endnoteReference w:id="34"/>
      </w:r>
      <w:r>
        <w:rPr>
          <w:sz w:val="20"/>
          <w:szCs w:val="20"/>
        </w:rPr>
        <w:t>]</w:t>
      </w:r>
      <w:r w:rsidRPr="00A42B4C">
        <w:rPr>
          <w:sz w:val="20"/>
          <w:szCs w:val="20"/>
        </w:rPr>
        <w:t xml:space="preserve"> Daud al-Rumi quote Baidhawi and Manafi'ul Quran in Surah al-Fatihah (1) to al-Nur (24), while Surah al-Furqan (25) to Surah al-Nas (114) cited only Baidhawi him self. There is an exception to the Surah al-Ra'd (13) its only mentioned Baidhawi. The other exception is the Surah Yasin (36) which quote </w:t>
      </w:r>
      <w:r w:rsidRPr="00A42B4C">
        <w:rPr>
          <w:i/>
          <w:iCs/>
          <w:sz w:val="20"/>
          <w:szCs w:val="20"/>
        </w:rPr>
        <w:t>Tafsir Baidhawi and al-Khazin by Rumi.</w:t>
      </w:r>
      <w:r w:rsidRPr="00A42B4C">
        <w:rPr>
          <w:i/>
          <w:iCs/>
          <w:sz w:val="20"/>
          <w:szCs w:val="20"/>
        </w:rPr>
        <w:br/>
      </w:r>
    </w:p>
    <w:p w:rsidR="00304503" w:rsidRPr="00A42B4C" w:rsidRDefault="00304503" w:rsidP="005D6B11">
      <w:pPr>
        <w:spacing w:after="0"/>
        <w:ind w:left="0"/>
        <w:rPr>
          <w:b/>
          <w:bCs/>
          <w:i/>
          <w:iCs/>
          <w:sz w:val="20"/>
          <w:szCs w:val="20"/>
        </w:rPr>
      </w:pPr>
      <w:r w:rsidRPr="00A42B4C">
        <w:rPr>
          <w:b/>
          <w:sz w:val="20"/>
          <w:szCs w:val="20"/>
        </w:rPr>
        <w:t xml:space="preserve">8. </w:t>
      </w:r>
      <w:r w:rsidRPr="00A42B4C">
        <w:rPr>
          <w:b/>
          <w:bCs/>
          <w:i/>
          <w:iCs/>
          <w:sz w:val="20"/>
          <w:szCs w:val="20"/>
        </w:rPr>
        <w:t xml:space="preserve">FAIDAH </w:t>
      </w:r>
      <w:r w:rsidRPr="00A42B4C">
        <w:rPr>
          <w:b/>
          <w:bCs/>
          <w:sz w:val="20"/>
          <w:szCs w:val="20"/>
        </w:rPr>
        <w:t xml:space="preserve">AND </w:t>
      </w:r>
      <w:r w:rsidRPr="00A42B4C">
        <w:rPr>
          <w:b/>
          <w:bCs/>
          <w:i/>
          <w:iCs/>
          <w:sz w:val="20"/>
          <w:szCs w:val="20"/>
        </w:rPr>
        <w:t>QISSHAH</w:t>
      </w:r>
    </w:p>
    <w:p w:rsidR="00304503" w:rsidRPr="00A42B4C" w:rsidRDefault="00304503" w:rsidP="005D6B11">
      <w:pPr>
        <w:pStyle w:val="ListParagraph"/>
        <w:spacing w:after="0"/>
        <w:ind w:left="0" w:firstLine="284"/>
        <w:rPr>
          <w:sz w:val="20"/>
          <w:szCs w:val="20"/>
        </w:rPr>
      </w:pPr>
      <w:r w:rsidRPr="00A42B4C">
        <w:rPr>
          <w:sz w:val="20"/>
          <w:szCs w:val="20"/>
        </w:rPr>
        <w:t xml:space="preserve">In addition to providing a brief overview about Surah, Daud al-Rumi also add this work by using two keywords, namely </w:t>
      </w:r>
      <w:r w:rsidRPr="00A42B4C">
        <w:rPr>
          <w:i/>
          <w:iCs/>
          <w:sz w:val="20"/>
          <w:szCs w:val="20"/>
        </w:rPr>
        <w:t xml:space="preserve">faidah </w:t>
      </w:r>
      <w:r w:rsidRPr="00A42B4C">
        <w:rPr>
          <w:sz w:val="20"/>
          <w:szCs w:val="20"/>
        </w:rPr>
        <w:t xml:space="preserve">and </w:t>
      </w:r>
      <w:r w:rsidRPr="00A42B4C">
        <w:rPr>
          <w:i/>
          <w:iCs/>
          <w:sz w:val="20"/>
          <w:szCs w:val="20"/>
        </w:rPr>
        <w:t>Qisshah</w:t>
      </w:r>
      <w:r w:rsidRPr="00A42B4C">
        <w:rPr>
          <w:sz w:val="20"/>
          <w:szCs w:val="20"/>
        </w:rPr>
        <w:t xml:space="preserve">. Both are marked by brackets. Faidah function in this book is an explanation about </w:t>
      </w:r>
      <w:r w:rsidRPr="00A42B4C">
        <w:rPr>
          <w:i/>
          <w:iCs/>
          <w:sz w:val="20"/>
          <w:szCs w:val="20"/>
        </w:rPr>
        <w:t>Ikhtilaf Qiraat.</w:t>
      </w:r>
      <w:r w:rsidRPr="004766D9">
        <w:rPr>
          <w:iCs/>
          <w:sz w:val="20"/>
          <w:szCs w:val="20"/>
        </w:rPr>
        <w:t>[</w:t>
      </w:r>
      <w:r w:rsidRPr="004766D9">
        <w:rPr>
          <w:rStyle w:val="EndnoteReference"/>
          <w:sz w:val="20"/>
          <w:szCs w:val="20"/>
        </w:rPr>
        <w:endnoteReference w:id="35"/>
      </w:r>
      <w:r w:rsidRPr="004766D9">
        <w:rPr>
          <w:iCs/>
          <w:sz w:val="20"/>
          <w:szCs w:val="20"/>
        </w:rPr>
        <w:t>]</w:t>
      </w:r>
      <w:r w:rsidRPr="004766D9">
        <w:rPr>
          <w:sz w:val="20"/>
          <w:szCs w:val="20"/>
        </w:rPr>
        <w:t>.</w:t>
      </w:r>
      <w:r w:rsidRPr="00A42B4C">
        <w:rPr>
          <w:sz w:val="20"/>
          <w:szCs w:val="20"/>
        </w:rPr>
        <w:t xml:space="preserve"> Differences or similarities on </w:t>
      </w:r>
      <w:r w:rsidRPr="00A42B4C">
        <w:rPr>
          <w:i/>
          <w:iCs/>
          <w:sz w:val="20"/>
          <w:szCs w:val="20"/>
        </w:rPr>
        <w:t>mufassir</w:t>
      </w:r>
      <w:r w:rsidRPr="004766D9">
        <w:rPr>
          <w:iCs/>
          <w:sz w:val="20"/>
          <w:szCs w:val="20"/>
        </w:rPr>
        <w:t>[</w:t>
      </w:r>
      <w:r w:rsidRPr="004766D9">
        <w:rPr>
          <w:rStyle w:val="EndnoteReference"/>
          <w:sz w:val="20"/>
          <w:szCs w:val="20"/>
        </w:rPr>
        <w:endnoteReference w:id="36"/>
      </w:r>
      <w:r w:rsidRPr="004766D9">
        <w:rPr>
          <w:iCs/>
          <w:sz w:val="20"/>
          <w:szCs w:val="20"/>
        </w:rPr>
        <w:t>]</w:t>
      </w:r>
      <w:r>
        <w:rPr>
          <w:i/>
          <w:iCs/>
          <w:sz w:val="20"/>
          <w:szCs w:val="20"/>
        </w:rPr>
        <w:t xml:space="preserve"> </w:t>
      </w:r>
      <w:r w:rsidRPr="00A42B4C">
        <w:rPr>
          <w:sz w:val="20"/>
          <w:szCs w:val="20"/>
        </w:rPr>
        <w:t xml:space="preserve">opinion and discussion on </w:t>
      </w:r>
      <w:r w:rsidRPr="00A42B4C">
        <w:rPr>
          <w:i/>
          <w:iCs/>
          <w:sz w:val="20"/>
          <w:szCs w:val="20"/>
        </w:rPr>
        <w:t>nasikh and mansukh</w:t>
      </w:r>
      <w:r w:rsidRPr="00A42B4C">
        <w:rPr>
          <w:sz w:val="20"/>
          <w:szCs w:val="20"/>
        </w:rPr>
        <w:t>.</w:t>
      </w:r>
      <w:r>
        <w:rPr>
          <w:sz w:val="20"/>
          <w:szCs w:val="20"/>
        </w:rPr>
        <w:t>[</w:t>
      </w:r>
      <w:r w:rsidRPr="004766D9">
        <w:rPr>
          <w:rStyle w:val="EndnoteReference"/>
          <w:sz w:val="20"/>
          <w:szCs w:val="20"/>
        </w:rPr>
        <w:endnoteReference w:id="37"/>
      </w:r>
      <w:r>
        <w:rPr>
          <w:sz w:val="20"/>
          <w:szCs w:val="20"/>
        </w:rPr>
        <w:t>]</w:t>
      </w:r>
      <w:r w:rsidRPr="00A42B4C">
        <w:rPr>
          <w:sz w:val="20"/>
          <w:szCs w:val="20"/>
        </w:rPr>
        <w:t xml:space="preserve"> The function of Qisshah in this book is to explain the reports relating to verses or sabab al-Nuzul. Excerpts of the story referred to a lot of interpretation of al-Khazin, “</w:t>
      </w:r>
      <w:r w:rsidRPr="00A42B4C">
        <w:rPr>
          <w:i/>
          <w:iCs/>
          <w:sz w:val="20"/>
          <w:szCs w:val="20"/>
        </w:rPr>
        <w:t>tersebut di dalam Khazin”</w:t>
      </w:r>
      <w:r w:rsidRPr="00A42B4C">
        <w:rPr>
          <w:sz w:val="20"/>
          <w:szCs w:val="20"/>
        </w:rPr>
        <w:t>,</w:t>
      </w:r>
      <w:r>
        <w:rPr>
          <w:sz w:val="20"/>
          <w:szCs w:val="20"/>
        </w:rPr>
        <w:t>[</w:t>
      </w:r>
      <w:r w:rsidRPr="004766D9">
        <w:rPr>
          <w:rStyle w:val="EndnoteReference"/>
          <w:sz w:val="20"/>
          <w:szCs w:val="20"/>
        </w:rPr>
        <w:endnoteReference w:id="38"/>
      </w:r>
      <w:r>
        <w:rPr>
          <w:sz w:val="20"/>
          <w:szCs w:val="20"/>
        </w:rPr>
        <w:t>]</w:t>
      </w:r>
      <w:r w:rsidRPr="00A42B4C">
        <w:rPr>
          <w:sz w:val="20"/>
          <w:szCs w:val="20"/>
        </w:rPr>
        <w:t xml:space="preserve"> partly citing Baidhawi, as well as al-Baghawi. There are also some reports mentioned without explaining the reference.</w:t>
      </w:r>
    </w:p>
    <w:p w:rsidR="00304503" w:rsidRPr="00A42B4C" w:rsidRDefault="00304503" w:rsidP="005D6B11">
      <w:pPr>
        <w:pStyle w:val="ListParagraph"/>
        <w:spacing w:after="0"/>
        <w:ind w:left="0" w:firstLine="284"/>
        <w:rPr>
          <w:sz w:val="20"/>
          <w:szCs w:val="20"/>
        </w:rPr>
      </w:pPr>
      <w:r w:rsidRPr="00A42B4C">
        <w:rPr>
          <w:sz w:val="20"/>
          <w:szCs w:val="20"/>
        </w:rPr>
        <w:t xml:space="preserve">If the word </w:t>
      </w:r>
      <w:r w:rsidRPr="00A42B4C">
        <w:rPr>
          <w:i/>
          <w:iCs/>
          <w:sz w:val="20"/>
          <w:szCs w:val="20"/>
        </w:rPr>
        <w:t>faidah and qisshah</w:t>
      </w:r>
      <w:r w:rsidRPr="00A42B4C">
        <w:rPr>
          <w:sz w:val="20"/>
          <w:szCs w:val="20"/>
        </w:rPr>
        <w:t xml:space="preserve"> placed at the end of a verse, it was the addition from Daud al-Rumi which referred from various books of Tafsir in Arabic Languange. If </w:t>
      </w:r>
      <w:r w:rsidRPr="00A42B4C">
        <w:rPr>
          <w:i/>
          <w:iCs/>
          <w:sz w:val="20"/>
          <w:szCs w:val="20"/>
        </w:rPr>
        <w:t>faidah or qisshah</w:t>
      </w:r>
      <w:r w:rsidRPr="00A42B4C">
        <w:rPr>
          <w:sz w:val="20"/>
          <w:szCs w:val="20"/>
        </w:rPr>
        <w:t xml:space="preserve"> located in the middle section (before the end of the verse), then it is a direct interpretation of </w:t>
      </w:r>
      <w:r w:rsidRPr="00A42B4C">
        <w:rPr>
          <w:i/>
          <w:iCs/>
          <w:sz w:val="20"/>
          <w:szCs w:val="20"/>
        </w:rPr>
        <w:t>'Abd al-Ra'uf Singkel to Tafsir Jalalain.</w:t>
      </w:r>
      <w:r w:rsidRPr="00A42B4C">
        <w:rPr>
          <w:rStyle w:val="EndnoteReference"/>
          <w:i/>
          <w:iCs/>
          <w:sz w:val="20"/>
          <w:szCs w:val="20"/>
        </w:rPr>
        <w:t xml:space="preserve"> </w:t>
      </w:r>
      <w:r w:rsidRPr="004766D9">
        <w:rPr>
          <w:iCs/>
          <w:sz w:val="20"/>
          <w:szCs w:val="20"/>
        </w:rPr>
        <w:t>[</w:t>
      </w:r>
      <w:r w:rsidRPr="004766D9">
        <w:rPr>
          <w:rStyle w:val="EndnoteReference"/>
          <w:iCs/>
          <w:sz w:val="20"/>
          <w:szCs w:val="20"/>
        </w:rPr>
        <w:endnoteReference w:id="39"/>
      </w:r>
      <w:r w:rsidRPr="004766D9">
        <w:rPr>
          <w:sz w:val="20"/>
          <w:szCs w:val="20"/>
        </w:rPr>
        <w:t xml:space="preserve">] </w:t>
      </w:r>
      <w:r w:rsidRPr="00A42B4C">
        <w:rPr>
          <w:sz w:val="20"/>
          <w:szCs w:val="20"/>
        </w:rPr>
        <w:t xml:space="preserve">Similarly, an explanation of </w:t>
      </w:r>
      <w:r w:rsidRPr="00A42B4C">
        <w:rPr>
          <w:i/>
          <w:iCs/>
          <w:sz w:val="20"/>
          <w:szCs w:val="20"/>
        </w:rPr>
        <w:t>nasikh and mansukh</w:t>
      </w:r>
      <w:r w:rsidRPr="00A42B4C">
        <w:rPr>
          <w:sz w:val="20"/>
          <w:szCs w:val="20"/>
        </w:rPr>
        <w:t xml:space="preserve"> located in the middle of the verse is a translation from </w:t>
      </w:r>
      <w:r w:rsidRPr="00A42B4C">
        <w:rPr>
          <w:i/>
          <w:iCs/>
          <w:sz w:val="20"/>
          <w:szCs w:val="20"/>
        </w:rPr>
        <w:t>Tafsir Jalalain</w:t>
      </w:r>
      <w:r w:rsidRPr="004766D9">
        <w:rPr>
          <w:iCs/>
          <w:sz w:val="20"/>
          <w:szCs w:val="20"/>
        </w:rPr>
        <w:t>[</w:t>
      </w:r>
      <w:r w:rsidRPr="004766D9">
        <w:rPr>
          <w:rStyle w:val="EndnoteReference"/>
          <w:sz w:val="20"/>
          <w:szCs w:val="20"/>
        </w:rPr>
        <w:endnoteReference w:id="40"/>
      </w:r>
      <w:r w:rsidRPr="004766D9">
        <w:rPr>
          <w:iCs/>
          <w:sz w:val="20"/>
          <w:szCs w:val="20"/>
        </w:rPr>
        <w:t>]</w:t>
      </w:r>
    </w:p>
    <w:p w:rsidR="00304503" w:rsidRPr="00A42B4C" w:rsidRDefault="00304503" w:rsidP="005D6B11">
      <w:pPr>
        <w:spacing w:after="0"/>
        <w:ind w:left="0"/>
        <w:rPr>
          <w:b/>
          <w:bCs/>
          <w:sz w:val="20"/>
          <w:szCs w:val="20"/>
        </w:rPr>
      </w:pPr>
      <w:r w:rsidRPr="00A42B4C">
        <w:rPr>
          <w:b/>
          <w:sz w:val="20"/>
          <w:szCs w:val="20"/>
        </w:rPr>
        <w:br/>
        <w:t xml:space="preserve">9. </w:t>
      </w:r>
      <w:r w:rsidRPr="00A42B4C">
        <w:rPr>
          <w:b/>
          <w:bCs/>
          <w:i/>
          <w:iCs/>
          <w:sz w:val="20"/>
          <w:szCs w:val="20"/>
        </w:rPr>
        <w:t>IKHTILAF QIRAAT</w:t>
      </w:r>
    </w:p>
    <w:p w:rsidR="00304503" w:rsidRPr="00A42B4C" w:rsidRDefault="00304503" w:rsidP="005D6B11">
      <w:pPr>
        <w:spacing w:before="0" w:after="0"/>
        <w:ind w:left="0" w:firstLine="284"/>
        <w:rPr>
          <w:i/>
          <w:iCs/>
          <w:sz w:val="20"/>
          <w:szCs w:val="20"/>
        </w:rPr>
      </w:pPr>
      <w:r w:rsidRPr="00A42B4C">
        <w:rPr>
          <w:sz w:val="20"/>
          <w:szCs w:val="20"/>
        </w:rPr>
        <w:t xml:space="preserve">On the second page of the </w:t>
      </w:r>
      <w:r w:rsidRPr="00A42B4C">
        <w:rPr>
          <w:i/>
          <w:iCs/>
          <w:sz w:val="20"/>
          <w:szCs w:val="20"/>
        </w:rPr>
        <w:t>Tafsir Turjuman</w:t>
      </w:r>
      <w:r w:rsidRPr="00A42B4C">
        <w:rPr>
          <w:sz w:val="20"/>
          <w:szCs w:val="20"/>
        </w:rPr>
        <w:t xml:space="preserve"> there is the explanation given by David al-Rumi about </w:t>
      </w:r>
      <w:r w:rsidRPr="00A42B4C">
        <w:rPr>
          <w:i/>
          <w:iCs/>
          <w:sz w:val="20"/>
          <w:szCs w:val="20"/>
        </w:rPr>
        <w:t>qira'at sab'ah:</w:t>
      </w:r>
    </w:p>
    <w:p w:rsidR="00304503" w:rsidRPr="00A42B4C" w:rsidRDefault="00304503" w:rsidP="005D6B11">
      <w:pPr>
        <w:spacing w:before="0" w:after="0"/>
        <w:ind w:left="0" w:firstLine="284"/>
        <w:rPr>
          <w:i/>
          <w:iCs/>
          <w:sz w:val="20"/>
          <w:szCs w:val="20"/>
        </w:rPr>
      </w:pPr>
      <w:r w:rsidRPr="00A42B4C">
        <w:rPr>
          <w:i/>
          <w:iCs/>
          <w:sz w:val="20"/>
          <w:szCs w:val="20"/>
        </w:rPr>
        <w:t>(Faidah) Pada menyatakan ikhtilaf antara segala Qari’ yang tiga pada membaca maliki maka Abu ‘Amr dan Nafi’ ittifaq keduanya atas membaca maliki dengan tiada alif dan Hafsh dengan alif maka adalah maknanya tatkala dibaca dengan alif Tuhan yang mempunyai segala pekerjaan hari kiamat (bermula) jikalau tersebut pada yang lagi akan datang bacaan al-Duri maka yaitu baca murid Nafi’ dan Abu ‘Amr karena segala imam Qari’yang masyhur itu tujuh jua, maka tiap-tiap seorang dari pada mereka itu dua murid yang masyhur (pertama) dari pada yang tujuh itu Nafi’ namanya maka muridnya yang masyhur Qalun dan Warsy (kedua) Ibn Katsir namanya maka muridnya Bazzi dan Qunbul (ketiga) Abu ‘Amr namanya muridnya Duri dan Susi (keempat) Abu ‘Amir namanya maka muridnya Hisyam dan Ibn Zakwan (kelima) ‘Ashim namanya maka muridnya Abu Bakr dan Hafsh (ke-enam) Hamzah namanya maka muridnya Khalaf dan Khalad (ketujuh) Kisai namanya maka muridnya Abu Harits dan Duri maka dinamai Duri ini Duuri Kisa’i dan yang dahulu itu Duuri Abu ‘Amr, Wallahu A’lam.</w:t>
      </w:r>
      <w:r w:rsidRPr="004766D9">
        <w:rPr>
          <w:iCs/>
          <w:sz w:val="20"/>
          <w:szCs w:val="20"/>
        </w:rPr>
        <w:t>[</w:t>
      </w:r>
      <w:r w:rsidRPr="004766D9">
        <w:rPr>
          <w:rStyle w:val="EndnoteReference"/>
          <w:iCs/>
          <w:sz w:val="20"/>
          <w:szCs w:val="20"/>
        </w:rPr>
        <w:endnoteReference w:id="41"/>
      </w:r>
      <w:r w:rsidRPr="004766D9">
        <w:rPr>
          <w:iCs/>
          <w:sz w:val="20"/>
          <w:szCs w:val="20"/>
        </w:rPr>
        <w:t>]</w:t>
      </w:r>
    </w:p>
    <w:p w:rsidR="00304503" w:rsidRPr="00A42B4C" w:rsidRDefault="00304503" w:rsidP="005D6B11">
      <w:pPr>
        <w:spacing w:after="0"/>
        <w:ind w:left="0" w:firstLine="284"/>
        <w:rPr>
          <w:sz w:val="20"/>
          <w:szCs w:val="20"/>
        </w:rPr>
      </w:pPr>
      <w:r w:rsidRPr="00A42B4C">
        <w:rPr>
          <w:sz w:val="20"/>
          <w:szCs w:val="20"/>
        </w:rPr>
        <w:t xml:space="preserve">In the next section, an explanation about the seven priests </w:t>
      </w:r>
      <w:r w:rsidRPr="00A42B4C">
        <w:rPr>
          <w:i/>
          <w:iCs/>
          <w:sz w:val="20"/>
          <w:szCs w:val="20"/>
        </w:rPr>
        <w:t>Qiraat</w:t>
      </w:r>
      <w:r w:rsidRPr="00A42B4C">
        <w:rPr>
          <w:sz w:val="20"/>
          <w:szCs w:val="20"/>
        </w:rPr>
        <w:t xml:space="preserve"> no longer found because its only shown the difference between Qiraat and three Qari</w:t>
      </w:r>
      <w:r>
        <w:rPr>
          <w:sz w:val="20"/>
          <w:szCs w:val="20"/>
        </w:rPr>
        <w:t xml:space="preserve"> [</w:t>
      </w:r>
      <w:r w:rsidRPr="00A42B4C">
        <w:rPr>
          <w:rStyle w:val="EndnoteReference"/>
          <w:sz w:val="20"/>
          <w:szCs w:val="20"/>
        </w:rPr>
        <w:endnoteReference w:id="42"/>
      </w:r>
      <w:r>
        <w:rPr>
          <w:sz w:val="20"/>
          <w:szCs w:val="20"/>
        </w:rPr>
        <w:t>]</w:t>
      </w:r>
      <w:r w:rsidRPr="00A42B4C">
        <w:rPr>
          <w:sz w:val="20"/>
          <w:szCs w:val="20"/>
        </w:rPr>
        <w:t xml:space="preserve"> namely: Abu 'Amr</w:t>
      </w:r>
      <w:r>
        <w:rPr>
          <w:sz w:val="20"/>
          <w:szCs w:val="20"/>
        </w:rPr>
        <w:t xml:space="preserve"> [</w:t>
      </w:r>
      <w:r w:rsidRPr="00A42B4C">
        <w:rPr>
          <w:rStyle w:val="EndnoteReference"/>
          <w:sz w:val="20"/>
          <w:szCs w:val="20"/>
        </w:rPr>
        <w:endnoteReference w:id="43"/>
      </w:r>
      <w:r>
        <w:rPr>
          <w:sz w:val="20"/>
          <w:szCs w:val="20"/>
        </w:rPr>
        <w:t>]</w:t>
      </w:r>
      <w:r w:rsidRPr="00A42B4C">
        <w:rPr>
          <w:sz w:val="20"/>
          <w:szCs w:val="20"/>
        </w:rPr>
        <w:t xml:space="preserve"> (a history of al-Duuri),</w:t>
      </w:r>
      <w:r>
        <w:rPr>
          <w:sz w:val="20"/>
          <w:szCs w:val="20"/>
        </w:rPr>
        <w:t>[</w:t>
      </w:r>
      <w:r w:rsidRPr="00A42B4C">
        <w:rPr>
          <w:rStyle w:val="EndnoteReference"/>
          <w:sz w:val="20"/>
          <w:szCs w:val="20"/>
        </w:rPr>
        <w:endnoteReference w:id="44"/>
      </w:r>
      <w:r>
        <w:rPr>
          <w:sz w:val="20"/>
          <w:szCs w:val="20"/>
        </w:rPr>
        <w:t>]</w:t>
      </w:r>
      <w:r w:rsidRPr="00A42B4C">
        <w:rPr>
          <w:sz w:val="20"/>
          <w:szCs w:val="20"/>
        </w:rPr>
        <w:t xml:space="preserve"> Nafi' (Qalun history),</w:t>
      </w:r>
      <w:r>
        <w:rPr>
          <w:sz w:val="20"/>
          <w:szCs w:val="20"/>
        </w:rPr>
        <w:t>[</w:t>
      </w:r>
      <w:r w:rsidRPr="00A42B4C">
        <w:rPr>
          <w:rStyle w:val="EndnoteReference"/>
          <w:sz w:val="20"/>
          <w:szCs w:val="20"/>
        </w:rPr>
        <w:endnoteReference w:id="45"/>
      </w:r>
      <w:r>
        <w:rPr>
          <w:sz w:val="20"/>
          <w:szCs w:val="20"/>
        </w:rPr>
        <w:t>]</w:t>
      </w:r>
      <w:r w:rsidRPr="00A42B4C">
        <w:rPr>
          <w:sz w:val="20"/>
          <w:szCs w:val="20"/>
        </w:rPr>
        <w:t xml:space="preserve"> and the history of Hafsh</w:t>
      </w:r>
      <w:r>
        <w:rPr>
          <w:sz w:val="20"/>
          <w:szCs w:val="20"/>
        </w:rPr>
        <w:t>[</w:t>
      </w:r>
      <w:r w:rsidRPr="00A42B4C">
        <w:rPr>
          <w:rStyle w:val="EndnoteReference"/>
          <w:sz w:val="20"/>
          <w:szCs w:val="20"/>
        </w:rPr>
        <w:endnoteReference w:id="46"/>
      </w:r>
      <w:r>
        <w:rPr>
          <w:sz w:val="20"/>
          <w:szCs w:val="20"/>
        </w:rPr>
        <w:t>]</w:t>
      </w:r>
      <w:r w:rsidRPr="00A42B4C">
        <w:rPr>
          <w:sz w:val="20"/>
          <w:szCs w:val="20"/>
        </w:rPr>
        <w:t xml:space="preserve"> from priest ‘Ashim.</w:t>
      </w:r>
      <w:r w:rsidRPr="00A42B4C">
        <w:rPr>
          <w:rStyle w:val="EndnoteReference"/>
          <w:sz w:val="20"/>
          <w:szCs w:val="20"/>
        </w:rPr>
        <w:t xml:space="preserve"> </w:t>
      </w:r>
      <w:r>
        <w:rPr>
          <w:sz w:val="20"/>
          <w:szCs w:val="20"/>
        </w:rPr>
        <w:t>[</w:t>
      </w:r>
      <w:r w:rsidRPr="00A42B4C">
        <w:rPr>
          <w:rStyle w:val="EndnoteReference"/>
          <w:sz w:val="20"/>
          <w:szCs w:val="20"/>
        </w:rPr>
        <w:endnoteReference w:id="47"/>
      </w:r>
      <w:r>
        <w:rPr>
          <w:sz w:val="20"/>
          <w:szCs w:val="20"/>
        </w:rPr>
        <w:t>]</w:t>
      </w:r>
      <w:r w:rsidRPr="00A42B4C">
        <w:rPr>
          <w:sz w:val="20"/>
          <w:szCs w:val="20"/>
        </w:rPr>
        <w:t xml:space="preserve"> It could be, the reason to mention of two names of priests </w:t>
      </w:r>
      <w:r w:rsidRPr="00A42B4C">
        <w:rPr>
          <w:i/>
          <w:iCs/>
          <w:sz w:val="20"/>
          <w:szCs w:val="20"/>
        </w:rPr>
        <w:t>Qiraat</w:t>
      </w:r>
      <w:r w:rsidRPr="00A42B4C">
        <w:rPr>
          <w:sz w:val="20"/>
          <w:szCs w:val="20"/>
        </w:rPr>
        <w:t xml:space="preserve"> because the general public more familiar with the name of the priests (Abu 'Amr and Nafi') rather then the narrator (Qalun and al-Duuri), while Rawi Hafsh more famous than priests Ashim. In the next section the authors will describe some examples of interpretations of 'Abd al-Ra'uf, especially in issue of women's status, because during his career in Aceh under the leadership of four Sultanah. The aim was to determine the effect on the socio-historical the author towards the contents of his book.</w:t>
      </w:r>
    </w:p>
    <w:p w:rsidR="00304503" w:rsidRDefault="00304503" w:rsidP="005D6B11">
      <w:pPr>
        <w:spacing w:before="0" w:after="0" w:line="276" w:lineRule="auto"/>
        <w:ind w:left="0"/>
        <w:jc w:val="left"/>
        <w:rPr>
          <w:b/>
          <w:sz w:val="20"/>
          <w:szCs w:val="20"/>
        </w:rPr>
      </w:pPr>
    </w:p>
    <w:p w:rsidR="00304503" w:rsidRPr="00A42B4C" w:rsidRDefault="00304503" w:rsidP="005D6B11">
      <w:pPr>
        <w:spacing w:before="0" w:after="0" w:line="276" w:lineRule="auto"/>
        <w:ind w:left="0"/>
        <w:jc w:val="left"/>
        <w:rPr>
          <w:b/>
          <w:sz w:val="20"/>
          <w:szCs w:val="20"/>
        </w:rPr>
      </w:pPr>
      <w:r w:rsidRPr="00A42B4C">
        <w:rPr>
          <w:b/>
          <w:sz w:val="20"/>
          <w:szCs w:val="20"/>
        </w:rPr>
        <w:t xml:space="preserve">10. </w:t>
      </w:r>
      <w:r w:rsidRPr="00A42B4C">
        <w:rPr>
          <w:b/>
          <w:bCs/>
          <w:sz w:val="20"/>
          <w:szCs w:val="20"/>
        </w:rPr>
        <w:t>STATUS OF WOMEN ACCORDING TO ‘ABD AL-RA’UF SINGKEL</w:t>
      </w:r>
    </w:p>
    <w:p w:rsidR="00304503" w:rsidRPr="00A42B4C" w:rsidRDefault="00304503" w:rsidP="005D6B11">
      <w:pPr>
        <w:spacing w:before="0" w:after="0"/>
        <w:ind w:left="0" w:firstLine="284"/>
        <w:rPr>
          <w:sz w:val="20"/>
          <w:szCs w:val="20"/>
        </w:rPr>
      </w:pPr>
      <w:r w:rsidRPr="00A42B4C">
        <w:rPr>
          <w:sz w:val="20"/>
          <w:szCs w:val="20"/>
        </w:rPr>
        <w:t>To see a thought or understanding of 'Abd al-Ra'uf Singkel to the position and status of women, the authors conducted an analysis of some of the book of al-Mustafid Turjuman, by collecting some Qur'anic verses related to the position and status of women, such as Qs, al-Nisa'4: 1, 32, 34, 124, and Qs, al-Nahl / 16: 97. In addition to presenting the thematic logic, the authors also presented a comparison of the sources of interpretation from Tafsir Baidhawi and Tafsir Jalalain, to see whether the interpretation of ' Abd al-Ra'uf to various verses were his own ijtihad/ effors or adaptations from Arabic languanre books.</w:t>
      </w:r>
    </w:p>
    <w:p w:rsidR="00304503" w:rsidRDefault="00304503">
      <w:pPr>
        <w:spacing w:before="0" w:after="200" w:line="276" w:lineRule="auto"/>
        <w:ind w:left="0"/>
        <w:jc w:val="left"/>
        <w:rPr>
          <w:b/>
          <w:bCs/>
          <w:i/>
          <w:iCs/>
          <w:sz w:val="20"/>
          <w:szCs w:val="20"/>
        </w:rPr>
      </w:pPr>
      <w:r>
        <w:rPr>
          <w:b/>
          <w:bCs/>
          <w:i/>
          <w:iCs/>
          <w:sz w:val="20"/>
          <w:szCs w:val="20"/>
        </w:rPr>
        <w:br w:type="page"/>
      </w:r>
    </w:p>
    <w:p w:rsidR="00304503" w:rsidRPr="00A42B4C" w:rsidRDefault="00304503" w:rsidP="005D6B11">
      <w:pPr>
        <w:spacing w:before="0" w:after="0"/>
        <w:ind w:left="284"/>
        <w:rPr>
          <w:b/>
          <w:bCs/>
          <w:i/>
          <w:iCs/>
          <w:sz w:val="20"/>
          <w:szCs w:val="20"/>
        </w:rPr>
      </w:pPr>
      <w:r w:rsidRPr="00A42B4C">
        <w:rPr>
          <w:b/>
          <w:bCs/>
          <w:i/>
          <w:iCs/>
          <w:sz w:val="20"/>
          <w:szCs w:val="20"/>
        </w:rPr>
        <w:lastRenderedPageBreak/>
        <w:t>Qs, al-Nisa’/4: 1.</w:t>
      </w:r>
    </w:p>
    <w:p w:rsidR="00304503" w:rsidRPr="00A42B4C" w:rsidRDefault="00304503" w:rsidP="005D6B11">
      <w:pPr>
        <w:spacing w:before="0" w:after="0"/>
        <w:ind w:left="284"/>
        <w:rPr>
          <w:i/>
          <w:iCs/>
          <w:sz w:val="20"/>
          <w:szCs w:val="20"/>
        </w:rPr>
      </w:pPr>
      <w:r w:rsidRPr="00A42B4C">
        <w:rPr>
          <w:i/>
          <w:iCs/>
          <w:sz w:val="20"/>
          <w:szCs w:val="20"/>
        </w:rPr>
        <w:t>‘Abd al-Ra’uf Singkel interpret first verse of  surah al-Nisa’ as follows :</w:t>
      </w:r>
    </w:p>
    <w:p w:rsidR="00304503" w:rsidRPr="00A42B4C" w:rsidRDefault="00304503" w:rsidP="005D6B11">
      <w:pPr>
        <w:spacing w:before="0" w:after="0"/>
        <w:ind w:left="0"/>
        <w:rPr>
          <w:i/>
          <w:iCs/>
          <w:sz w:val="20"/>
          <w:szCs w:val="20"/>
        </w:rPr>
      </w:pPr>
      <w:r w:rsidRPr="00A42B4C">
        <w:rPr>
          <w:i/>
          <w:iCs/>
          <w:sz w:val="20"/>
          <w:szCs w:val="20"/>
        </w:rPr>
        <w:t>Hai Ahli Makkah! Ketakuti oleh kamu syiksa Tuhan kamu yang menjadikan kamu daripada diri seorang yaitu Adam dan yang menjadikan dari padanya isterinya jua dan yang mencerai-ceraikan daripada keduanya segala laki-laki dan segala perempuan yang amat banyak. Dan ketakuti oleh kamu akan Allah ta’ala yang berpinta-pintaan yang antara kamu dengan menyebut-nyebut namaNya itu dan ketakuti oleh kamu daripada memutuskan</w:t>
      </w:r>
    </w:p>
    <w:p w:rsidR="00304503" w:rsidRPr="00A42B4C" w:rsidRDefault="00304503" w:rsidP="005D6B11">
      <w:pPr>
        <w:spacing w:before="0" w:after="0"/>
        <w:ind w:left="0"/>
        <w:rPr>
          <w:i/>
          <w:iCs/>
          <w:sz w:val="20"/>
          <w:szCs w:val="20"/>
        </w:rPr>
      </w:pPr>
      <w:r w:rsidRPr="00A42B4C">
        <w:rPr>
          <w:i/>
          <w:iCs/>
          <w:sz w:val="20"/>
          <w:szCs w:val="20"/>
        </w:rPr>
        <w:t>segala arham itu. Bahwasanya Allah ta’ala adalah ia atas kamu memeliharakan bagi segala amal kamu dibalas kamu dengannya.</w:t>
      </w:r>
      <w:r w:rsidRPr="00A42B4C">
        <w:rPr>
          <w:rStyle w:val="EndnoteReference"/>
          <w:i/>
          <w:iCs/>
          <w:sz w:val="20"/>
          <w:szCs w:val="20"/>
        </w:rPr>
        <w:endnoteReference w:id="48"/>
      </w:r>
    </w:p>
    <w:p w:rsidR="00304503" w:rsidRPr="00A42B4C" w:rsidRDefault="00304503" w:rsidP="005D6B11">
      <w:pPr>
        <w:spacing w:before="0" w:after="0"/>
        <w:ind w:left="0" w:firstLine="284"/>
        <w:rPr>
          <w:sz w:val="20"/>
          <w:szCs w:val="20"/>
        </w:rPr>
      </w:pPr>
      <w:r w:rsidRPr="00A42B4C">
        <w:rPr>
          <w:sz w:val="20"/>
          <w:szCs w:val="20"/>
        </w:rPr>
        <w:t>In this verse, Abd al-Ra'uf Singkel states that Eve was created from Adam. There is no further explanation of how the process of creation and the material which was used as the substance of creation. In comparison with other manuscripts that became the source of the writing of this book, the author displays tafsir al-Baidhawi and al-Jalalayn of this verse. (Surah al-Nisa: 1) According  to Baidhawi,</w:t>
      </w:r>
      <w:r>
        <w:rPr>
          <w:sz w:val="20"/>
          <w:szCs w:val="20"/>
        </w:rPr>
        <w:t>[</w:t>
      </w:r>
      <w:r w:rsidRPr="00A42B4C">
        <w:rPr>
          <w:rStyle w:val="EndnoteReference"/>
          <w:sz w:val="20"/>
          <w:szCs w:val="20"/>
        </w:rPr>
        <w:endnoteReference w:id="49"/>
      </w:r>
      <w:r>
        <w:rPr>
          <w:sz w:val="20"/>
          <w:szCs w:val="20"/>
        </w:rPr>
        <w:t>]</w:t>
      </w:r>
      <w:r w:rsidRPr="00A42B4C">
        <w:rPr>
          <w:sz w:val="20"/>
          <w:szCs w:val="20"/>
        </w:rPr>
        <w:t xml:space="preserve"> call (</w:t>
      </w:r>
      <w:r w:rsidRPr="00A42B4C">
        <w:rPr>
          <w:i/>
          <w:iCs/>
          <w:sz w:val="20"/>
          <w:szCs w:val="20"/>
        </w:rPr>
        <w:t>nida: Ya ayyuha al-Nas</w:t>
      </w:r>
      <w:r w:rsidRPr="00A42B4C">
        <w:rPr>
          <w:sz w:val="20"/>
          <w:szCs w:val="20"/>
        </w:rPr>
        <w:t xml:space="preserve">) generally accepted to every child of Prophet Adam. People are summoned to fear Allah who has created Adam, and his wife created from his rib cage. Baidhawi also explained 'i'rab side of sentences that are </w:t>
      </w:r>
      <w:r w:rsidRPr="00A42B4C">
        <w:rPr>
          <w:i/>
          <w:iCs/>
          <w:sz w:val="20"/>
          <w:szCs w:val="20"/>
        </w:rPr>
        <w:t>mahdzuf</w:t>
      </w:r>
      <w:r w:rsidRPr="00A42B4C">
        <w:rPr>
          <w:sz w:val="20"/>
          <w:szCs w:val="20"/>
        </w:rPr>
        <w:t xml:space="preserve">. In addition, the Priest al-Baidhawi also explain how to read Priest Ashim, Hamza, and Kisai to  word </w:t>
      </w:r>
      <w:r w:rsidRPr="00A42B4C">
        <w:rPr>
          <w:i/>
          <w:iCs/>
          <w:sz w:val="20"/>
          <w:szCs w:val="20"/>
        </w:rPr>
        <w:t>tasa'aluna</w:t>
      </w:r>
      <w:r w:rsidRPr="00A42B4C">
        <w:rPr>
          <w:sz w:val="20"/>
          <w:szCs w:val="20"/>
        </w:rPr>
        <w:t xml:space="preserve"> which originally was </w:t>
      </w:r>
      <w:r w:rsidRPr="00A42B4C">
        <w:rPr>
          <w:i/>
          <w:iCs/>
          <w:sz w:val="20"/>
          <w:szCs w:val="20"/>
        </w:rPr>
        <w:t>tatasa'aluna</w:t>
      </w:r>
      <w:r w:rsidRPr="00A42B4C">
        <w:rPr>
          <w:sz w:val="20"/>
          <w:szCs w:val="20"/>
        </w:rPr>
        <w:t>. This explanation is an end with a history:</w:t>
      </w:r>
    </w:p>
    <w:p w:rsidR="00304503" w:rsidRPr="00A42B4C" w:rsidRDefault="00304503" w:rsidP="005D6B11">
      <w:pPr>
        <w:spacing w:before="0" w:after="0"/>
        <w:rPr>
          <w:sz w:val="20"/>
          <w:szCs w:val="20"/>
        </w:rPr>
      </w:pPr>
    </w:p>
    <w:p w:rsidR="00304503" w:rsidRPr="00A42B4C" w:rsidRDefault="00304503" w:rsidP="005D6B11">
      <w:pPr>
        <w:autoSpaceDE w:val="0"/>
        <w:autoSpaceDN w:val="0"/>
        <w:bidi/>
        <w:adjustRightInd w:val="0"/>
        <w:spacing w:before="0" w:after="0"/>
        <w:ind w:left="95"/>
        <w:rPr>
          <w:color w:val="000000"/>
          <w:sz w:val="20"/>
          <w:szCs w:val="20"/>
        </w:rPr>
      </w:pPr>
      <w:r w:rsidRPr="00A42B4C">
        <w:rPr>
          <w:color w:val="000000"/>
          <w:sz w:val="20"/>
          <w:szCs w:val="20"/>
          <w:rtl/>
        </w:rPr>
        <w:t>وعنه عليه الصلاة والسلام «الرحم معلقة بالعرش تقول ألا من وصلني وصله الله ومن قطعني قطعه الله</w:t>
      </w:r>
      <w:r w:rsidRPr="00A42B4C">
        <w:rPr>
          <w:rStyle w:val="EndnoteReference"/>
          <w:color w:val="000000"/>
          <w:sz w:val="20"/>
          <w:szCs w:val="20"/>
          <w:rtl/>
        </w:rPr>
        <w:endnoteReference w:id="50"/>
      </w:r>
    </w:p>
    <w:p w:rsidR="00304503" w:rsidRPr="00A42B4C" w:rsidRDefault="00304503" w:rsidP="005D6B11">
      <w:pPr>
        <w:spacing w:before="0" w:after="0"/>
        <w:ind w:firstLine="720"/>
        <w:rPr>
          <w:sz w:val="20"/>
          <w:szCs w:val="20"/>
        </w:rPr>
      </w:pPr>
    </w:p>
    <w:p w:rsidR="00304503" w:rsidRPr="00A42B4C" w:rsidRDefault="00304503" w:rsidP="005D6B11">
      <w:pPr>
        <w:spacing w:before="0" w:after="0"/>
        <w:ind w:left="0"/>
        <w:rPr>
          <w:sz w:val="20"/>
          <w:szCs w:val="20"/>
        </w:rPr>
      </w:pPr>
      <w:r w:rsidRPr="00A42B4C">
        <w:rPr>
          <w:sz w:val="20"/>
          <w:szCs w:val="20"/>
        </w:rPr>
        <w:t xml:space="preserve">in contrast to the Imam al-Baidhawi, Jalaluddin al-Mahalli using </w:t>
      </w:r>
      <w:r w:rsidRPr="00A42B4C">
        <w:rPr>
          <w:i/>
          <w:iCs/>
          <w:sz w:val="20"/>
          <w:szCs w:val="20"/>
        </w:rPr>
        <w:t>ijmali</w:t>
      </w:r>
      <w:r w:rsidRPr="00A42B4C">
        <w:rPr>
          <w:sz w:val="20"/>
          <w:szCs w:val="20"/>
        </w:rPr>
        <w:t xml:space="preserve"> method of interpreting this verse;</w:t>
      </w:r>
    </w:p>
    <w:p w:rsidR="00304503" w:rsidRPr="00A42B4C" w:rsidRDefault="00304503" w:rsidP="005D6B11">
      <w:pPr>
        <w:spacing w:before="0" w:after="0"/>
        <w:ind w:left="0"/>
        <w:rPr>
          <w:i/>
          <w:iCs/>
          <w:sz w:val="20"/>
          <w:szCs w:val="20"/>
        </w:rPr>
      </w:pPr>
      <w:r w:rsidRPr="00A42B4C">
        <w:rPr>
          <w:i/>
          <w:iCs/>
          <w:sz w:val="20"/>
          <w:szCs w:val="20"/>
        </w:rPr>
        <w:t>(Wahai manusia) yaitu penduduk Makkah (Takutlah pada Tuhanmu) yaitu pada adzabNya dengan cara mentaatiNya (yang telah menciptakan kamu dari jiwa yang satu) Adam (dan telah menciptakan darinya pasangannya) Hawwa dengan madd dari tulang rusuk Adam bagian kiri (dan memperkembang-biakkan) mencerai-beraikan, menyebarkkan (dari keduanya) dari Adam dan Hawwa (laki-laki dan perempuan yang banyak) banyak. (Dan bertakwalah kepada Allah Swt yang dengan Nya kalian saling meminta satu sama lain) pada kata tersebut terdapat idgham huruf ta asalnya kepada huruf sin yang dibaca dengan takhfif dengan cara membuangnya yaitu tatasa’aluna...</w:t>
      </w:r>
      <w:r w:rsidRPr="00A42B4C">
        <w:rPr>
          <w:rStyle w:val="EndnoteReference"/>
          <w:i/>
          <w:iCs/>
          <w:sz w:val="20"/>
          <w:szCs w:val="20"/>
        </w:rPr>
        <w:t xml:space="preserve"> </w:t>
      </w:r>
      <w:r>
        <w:rPr>
          <w:i/>
          <w:iCs/>
          <w:sz w:val="20"/>
          <w:szCs w:val="20"/>
        </w:rPr>
        <w:t>[</w:t>
      </w:r>
      <w:r w:rsidRPr="00A42B4C">
        <w:rPr>
          <w:rStyle w:val="EndnoteReference"/>
          <w:i/>
          <w:iCs/>
          <w:sz w:val="20"/>
          <w:szCs w:val="20"/>
        </w:rPr>
        <w:endnoteReference w:id="51"/>
      </w:r>
      <w:r>
        <w:rPr>
          <w:i/>
          <w:iCs/>
          <w:sz w:val="20"/>
          <w:szCs w:val="20"/>
        </w:rPr>
        <w:t>]</w:t>
      </w:r>
    </w:p>
    <w:p w:rsidR="00304503" w:rsidRPr="00A42B4C" w:rsidRDefault="00304503" w:rsidP="005D6B11">
      <w:pPr>
        <w:spacing w:before="0" w:after="0"/>
        <w:ind w:left="0" w:firstLine="284"/>
        <w:rPr>
          <w:sz w:val="20"/>
          <w:szCs w:val="20"/>
        </w:rPr>
      </w:pPr>
      <w:r w:rsidRPr="00A42B4C">
        <w:rPr>
          <w:sz w:val="20"/>
          <w:szCs w:val="20"/>
        </w:rPr>
        <w:t xml:space="preserve">In the above verse, visible differences in interpretation between the three scholars. 'Abd al-Ra'uf interpret this verse in brief, at first glance looks like a translation of a </w:t>
      </w:r>
      <w:r w:rsidRPr="00A42B4C">
        <w:rPr>
          <w:i/>
          <w:iCs/>
          <w:sz w:val="20"/>
          <w:szCs w:val="20"/>
        </w:rPr>
        <w:t>Tafsir Jalalain</w:t>
      </w:r>
      <w:r w:rsidRPr="00A42B4C">
        <w:rPr>
          <w:sz w:val="20"/>
          <w:szCs w:val="20"/>
        </w:rPr>
        <w:t xml:space="preserve">, but there are some details that are not written down. Eg. The substance of the creation of Adam, the explanation </w:t>
      </w:r>
      <w:r w:rsidRPr="00A42B4C">
        <w:rPr>
          <w:i/>
          <w:iCs/>
          <w:sz w:val="20"/>
          <w:szCs w:val="20"/>
        </w:rPr>
        <w:t>'i'rab or nahwu</w:t>
      </w:r>
      <w:r w:rsidRPr="00A42B4C">
        <w:rPr>
          <w:sz w:val="20"/>
          <w:szCs w:val="20"/>
        </w:rPr>
        <w:t xml:space="preserve"> against </w:t>
      </w:r>
      <w:r w:rsidRPr="00A42B4C">
        <w:rPr>
          <w:i/>
          <w:iCs/>
          <w:sz w:val="20"/>
          <w:szCs w:val="20"/>
        </w:rPr>
        <w:t>tasa'aluna</w:t>
      </w:r>
      <w:r w:rsidRPr="00A42B4C">
        <w:rPr>
          <w:sz w:val="20"/>
          <w:szCs w:val="20"/>
        </w:rPr>
        <w:t xml:space="preserve"> word. Explanation of how to read qiraat priest </w:t>
      </w:r>
      <w:r w:rsidRPr="00A42B4C">
        <w:rPr>
          <w:i/>
          <w:iCs/>
          <w:sz w:val="20"/>
          <w:szCs w:val="20"/>
        </w:rPr>
        <w:t>Ashim, Hamzah, and Kisai</w:t>
      </w:r>
      <w:r w:rsidRPr="00A42B4C">
        <w:rPr>
          <w:sz w:val="20"/>
          <w:szCs w:val="20"/>
        </w:rPr>
        <w:t xml:space="preserve"> also not mentioned. In addition, 'Abd al-Rauf al-Singkili also not quote hadith presented by priest al-Baidhawi. </w:t>
      </w:r>
    </w:p>
    <w:p w:rsidR="00304503" w:rsidRPr="00A42B4C" w:rsidRDefault="00304503" w:rsidP="005D6B11">
      <w:pPr>
        <w:spacing w:before="0" w:after="0"/>
        <w:ind w:left="0" w:firstLine="284"/>
        <w:rPr>
          <w:sz w:val="20"/>
          <w:szCs w:val="20"/>
        </w:rPr>
      </w:pPr>
      <w:r w:rsidRPr="00A42B4C">
        <w:rPr>
          <w:sz w:val="20"/>
          <w:szCs w:val="20"/>
        </w:rPr>
        <w:t xml:space="preserve">In this section it appears some parts of </w:t>
      </w:r>
      <w:r w:rsidRPr="00A42B4C">
        <w:rPr>
          <w:i/>
          <w:iCs/>
          <w:sz w:val="20"/>
          <w:szCs w:val="20"/>
        </w:rPr>
        <w:t>Tafsir Jalalain</w:t>
      </w:r>
      <w:r w:rsidRPr="00A42B4C">
        <w:rPr>
          <w:sz w:val="20"/>
          <w:szCs w:val="20"/>
        </w:rPr>
        <w:t xml:space="preserve"> not quoted by 'Abd al-Ra'uf that explanation 'i'rab and Eve creation from Adam's rib. In addition, 'Abd al-Ra'uf  quated the entire description contained in Jalalain.</w:t>
      </w:r>
    </w:p>
    <w:p w:rsidR="00304503" w:rsidRPr="00A42B4C" w:rsidRDefault="00304503" w:rsidP="005D6B11">
      <w:pPr>
        <w:spacing w:before="0" w:after="0"/>
        <w:ind w:left="0" w:firstLine="284"/>
        <w:rPr>
          <w:b/>
          <w:bCs/>
          <w:sz w:val="20"/>
          <w:szCs w:val="20"/>
          <w:rtl/>
        </w:rPr>
      </w:pPr>
      <w:r w:rsidRPr="00A42B4C">
        <w:rPr>
          <w:b/>
          <w:bCs/>
          <w:sz w:val="20"/>
          <w:szCs w:val="20"/>
        </w:rPr>
        <w:t>Qs, al-Nisa’/4: 32</w:t>
      </w:r>
    </w:p>
    <w:p w:rsidR="00304503" w:rsidRPr="00A42B4C" w:rsidRDefault="00304503" w:rsidP="005D6B11">
      <w:pPr>
        <w:spacing w:before="0" w:after="0"/>
        <w:ind w:left="0" w:firstLine="284"/>
        <w:rPr>
          <w:sz w:val="20"/>
          <w:szCs w:val="20"/>
        </w:rPr>
      </w:pPr>
      <w:r w:rsidRPr="00A42B4C">
        <w:rPr>
          <w:i/>
          <w:iCs/>
          <w:sz w:val="20"/>
          <w:szCs w:val="20"/>
        </w:rPr>
        <w:t>“Dan jangan kamu cita-citakan barang yang telah nugerahakan Allah ta’ala dengan dia akan setengah kamu atas setengah kamu daripada fihak dunia atau agama, supaya jangan yang demikian itu membawa kepada berangkai-dengki antara kamu. Bagi segala laki-laki itu suatu padala daripada yang telah dikerjkan mereka itu daripada perang dan lainnya dan bagi segala perempuan itu suatu pahala daripada yang telah dikerjakan mereka itu pada perbuat baqti suami dan memelihara akan faraj dari pada haram”</w:t>
      </w:r>
      <w:r w:rsidRPr="00A42B4C">
        <w:rPr>
          <w:sz w:val="20"/>
          <w:szCs w:val="20"/>
        </w:rPr>
        <w:t>.</w:t>
      </w:r>
    </w:p>
    <w:p w:rsidR="00304503" w:rsidRPr="00A42B4C" w:rsidRDefault="00304503" w:rsidP="005D6B11">
      <w:pPr>
        <w:spacing w:before="0" w:after="0"/>
        <w:ind w:left="0" w:firstLine="284"/>
        <w:rPr>
          <w:i/>
          <w:iCs/>
          <w:sz w:val="20"/>
          <w:szCs w:val="20"/>
        </w:rPr>
      </w:pPr>
      <w:r w:rsidRPr="00A42B4C">
        <w:rPr>
          <w:i/>
          <w:iCs/>
          <w:sz w:val="20"/>
          <w:szCs w:val="20"/>
        </w:rPr>
        <w:t>(Kisah) Bahwa adalah turun ayat ini tatkala dikata oleh salmah: Hai kiranya kami jadi laki-laki maka perang kami dan adalah bagi kamu seperti yang bagi laki-laki daripada pahala. Dan (</w:t>
      </w:r>
      <w:r w:rsidRPr="00A42B4C">
        <w:rPr>
          <w:i/>
          <w:iCs/>
          <w:sz w:val="20"/>
          <w:szCs w:val="20"/>
          <w:rtl/>
        </w:rPr>
        <w:t>فهنبكن</w:t>
      </w:r>
      <w:r w:rsidRPr="00A42B4C">
        <w:rPr>
          <w:i/>
          <w:iCs/>
          <w:sz w:val="20"/>
          <w:szCs w:val="20"/>
        </w:rPr>
        <w:t>)</w:t>
      </w:r>
      <w:r w:rsidRPr="00A42B4C">
        <w:rPr>
          <w:i/>
          <w:iCs/>
          <w:sz w:val="20"/>
          <w:szCs w:val="20"/>
          <w:rtl/>
        </w:rPr>
        <w:t xml:space="preserve"> </w:t>
      </w:r>
      <w:r w:rsidRPr="00A42B4C">
        <w:rPr>
          <w:i/>
          <w:iCs/>
          <w:sz w:val="20"/>
          <w:szCs w:val="20"/>
        </w:rPr>
        <w:t xml:space="preserve"> oleh kamu kepada Allah Ta’ala daripada nugerahnya barang yang berkehendak kamu kepadanya niscaya dinugerahi akan kami bahwasanya Allah ta’ala adalah ia akan tiap-tiap suatu yang amat tahu</w:t>
      </w:r>
      <w:r w:rsidRPr="00A42B4C">
        <w:rPr>
          <w:sz w:val="20"/>
          <w:szCs w:val="20"/>
        </w:rPr>
        <w:t>.</w:t>
      </w:r>
      <w:r>
        <w:rPr>
          <w:sz w:val="20"/>
          <w:szCs w:val="20"/>
        </w:rPr>
        <w:t>[</w:t>
      </w:r>
      <w:r w:rsidRPr="00A42B4C">
        <w:rPr>
          <w:rStyle w:val="EndnoteReference"/>
          <w:sz w:val="20"/>
          <w:szCs w:val="20"/>
        </w:rPr>
        <w:endnoteReference w:id="52"/>
      </w:r>
      <w:r>
        <w:rPr>
          <w:sz w:val="20"/>
          <w:szCs w:val="20"/>
        </w:rPr>
        <w:t>]</w:t>
      </w:r>
    </w:p>
    <w:p w:rsidR="00304503" w:rsidRPr="00A42B4C" w:rsidRDefault="00304503" w:rsidP="005D6B11">
      <w:pPr>
        <w:spacing w:before="0" w:after="0"/>
        <w:ind w:left="0" w:firstLine="284"/>
        <w:rPr>
          <w:sz w:val="20"/>
          <w:szCs w:val="20"/>
        </w:rPr>
      </w:pPr>
      <w:r w:rsidRPr="00A42B4C">
        <w:rPr>
          <w:sz w:val="20"/>
          <w:szCs w:val="20"/>
        </w:rPr>
        <w:t xml:space="preserve">According to al-Baidhawi, </w:t>
      </w:r>
      <w:r w:rsidRPr="00A42B4C">
        <w:rPr>
          <w:i/>
          <w:iCs/>
          <w:sz w:val="20"/>
          <w:szCs w:val="20"/>
        </w:rPr>
        <w:t>tamanni</w:t>
      </w:r>
      <w:r w:rsidRPr="00A42B4C">
        <w:rPr>
          <w:sz w:val="20"/>
          <w:szCs w:val="20"/>
        </w:rPr>
        <w:t xml:space="preserve"> which prohibited in this verse is wishful thinking on worldly matters. Therefore, every man and woman to get something from the results of their efforts are earnest/ of his hard work each (</w:t>
      </w:r>
      <w:r w:rsidRPr="00A42B4C">
        <w:rPr>
          <w:i/>
          <w:iCs/>
          <w:sz w:val="20"/>
          <w:szCs w:val="20"/>
        </w:rPr>
        <w:t>Iktasaba)</w:t>
      </w:r>
      <w:r w:rsidRPr="00A42B4C">
        <w:rPr>
          <w:sz w:val="20"/>
          <w:szCs w:val="20"/>
        </w:rPr>
        <w:t>. Al-Baidhawi also explain another interpretation of this verse, that men and women would take part each in inheritance issues.</w:t>
      </w:r>
      <w:r w:rsidRPr="00A42B4C">
        <w:rPr>
          <w:rStyle w:val="EndnoteReference"/>
          <w:sz w:val="20"/>
          <w:szCs w:val="20"/>
        </w:rPr>
        <w:t xml:space="preserve"> </w:t>
      </w:r>
      <w:r>
        <w:rPr>
          <w:sz w:val="20"/>
          <w:szCs w:val="20"/>
        </w:rPr>
        <w:t>[</w:t>
      </w:r>
      <w:r w:rsidRPr="00A42B4C">
        <w:rPr>
          <w:rStyle w:val="EndnoteReference"/>
          <w:sz w:val="20"/>
          <w:szCs w:val="20"/>
        </w:rPr>
        <w:endnoteReference w:id="53"/>
      </w:r>
      <w:r>
        <w:rPr>
          <w:sz w:val="20"/>
          <w:szCs w:val="20"/>
        </w:rPr>
        <w:t>]</w:t>
      </w:r>
      <w:r w:rsidRPr="00A42B4C">
        <w:rPr>
          <w:sz w:val="20"/>
          <w:szCs w:val="20"/>
        </w:rPr>
        <w:t xml:space="preserve"> Al-Baidhawi also cite a history of </w:t>
      </w:r>
      <w:r w:rsidRPr="00A42B4C">
        <w:rPr>
          <w:i/>
          <w:iCs/>
          <w:sz w:val="20"/>
          <w:szCs w:val="20"/>
        </w:rPr>
        <w:t xml:space="preserve">sabab al-Nuzul </w:t>
      </w:r>
      <w:r w:rsidRPr="00A42B4C">
        <w:rPr>
          <w:sz w:val="20"/>
          <w:szCs w:val="20"/>
        </w:rPr>
        <w:t>this verse, namely;</w:t>
      </w:r>
    </w:p>
    <w:p w:rsidR="00304503" w:rsidRPr="00A42B4C" w:rsidRDefault="00304503" w:rsidP="005D6B11">
      <w:pPr>
        <w:spacing w:before="0" w:after="0"/>
        <w:ind w:left="0" w:firstLine="284"/>
        <w:rPr>
          <w:sz w:val="20"/>
          <w:szCs w:val="20"/>
        </w:rPr>
      </w:pPr>
    </w:p>
    <w:p w:rsidR="00304503" w:rsidRPr="00A42B4C" w:rsidRDefault="00304503" w:rsidP="005D6B11">
      <w:pPr>
        <w:autoSpaceDE w:val="0"/>
        <w:autoSpaceDN w:val="0"/>
        <w:bidi/>
        <w:adjustRightInd w:val="0"/>
        <w:spacing w:before="0" w:after="0"/>
        <w:ind w:left="0" w:firstLine="284"/>
        <w:rPr>
          <w:color w:val="000000"/>
          <w:sz w:val="20"/>
          <w:szCs w:val="20"/>
          <w:rtl/>
        </w:rPr>
      </w:pPr>
      <w:r w:rsidRPr="00A42B4C">
        <w:rPr>
          <w:color w:val="000000"/>
          <w:sz w:val="20"/>
          <w:szCs w:val="20"/>
          <w:rtl/>
        </w:rPr>
        <w:t>روي (أن أم سلمة قالت: يا رسول الله يغزو الرجال ولا نغزو وإنما لنا نصف الميراث ليتنا كنا رجالا) فنزلت.</w:t>
      </w:r>
      <w:r>
        <w:rPr>
          <w:color w:val="000000"/>
          <w:sz w:val="20"/>
          <w:szCs w:val="20"/>
          <w:rtl/>
        </w:rPr>
        <w:t>[</w:t>
      </w:r>
      <w:r w:rsidRPr="004766D9">
        <w:rPr>
          <w:rStyle w:val="EndnoteReference"/>
          <w:color w:val="000000"/>
          <w:sz w:val="20"/>
          <w:szCs w:val="20"/>
          <w:rtl/>
        </w:rPr>
        <w:endnoteReference w:id="54"/>
      </w:r>
      <w:r>
        <w:rPr>
          <w:color w:val="000000"/>
          <w:sz w:val="20"/>
          <w:szCs w:val="20"/>
          <w:rtl/>
        </w:rPr>
        <w:t>]</w:t>
      </w:r>
      <w:r w:rsidRPr="00A42B4C">
        <w:rPr>
          <w:color w:val="000000"/>
          <w:sz w:val="20"/>
          <w:szCs w:val="20"/>
        </w:rPr>
        <w:t xml:space="preserve">           </w:t>
      </w:r>
    </w:p>
    <w:p w:rsidR="00304503" w:rsidRPr="00A42B4C" w:rsidRDefault="00304503" w:rsidP="005D6B11">
      <w:pPr>
        <w:spacing w:before="0" w:after="0"/>
        <w:ind w:left="0" w:firstLine="284"/>
        <w:rPr>
          <w:sz w:val="20"/>
          <w:szCs w:val="20"/>
        </w:rPr>
      </w:pPr>
      <w:r w:rsidRPr="00A42B4C">
        <w:rPr>
          <w:sz w:val="20"/>
          <w:szCs w:val="20"/>
        </w:rPr>
        <w:t xml:space="preserve">While al-Mahalli interpret this verse, that banned </w:t>
      </w:r>
      <w:r w:rsidRPr="00A42B4C">
        <w:rPr>
          <w:i/>
          <w:iCs/>
          <w:sz w:val="20"/>
          <w:szCs w:val="20"/>
        </w:rPr>
        <w:t>tamanni</w:t>
      </w:r>
      <w:r w:rsidRPr="00A42B4C">
        <w:rPr>
          <w:sz w:val="20"/>
          <w:szCs w:val="20"/>
        </w:rPr>
        <w:t xml:space="preserve"> it in terms of temporal and religious issues, because of the nature of </w:t>
      </w:r>
      <w:r w:rsidRPr="00A42B4C">
        <w:rPr>
          <w:i/>
          <w:iCs/>
          <w:sz w:val="20"/>
          <w:szCs w:val="20"/>
        </w:rPr>
        <w:t xml:space="preserve">tamanni </w:t>
      </w:r>
      <w:r w:rsidRPr="00A42B4C">
        <w:rPr>
          <w:sz w:val="20"/>
          <w:szCs w:val="20"/>
        </w:rPr>
        <w:t xml:space="preserve">this will lead to envy and jealousy. For men there is reward for the war/ jihad that they have done, while for women there is reward for their obedience to her husband and their devotion in maintaining gender. This clause has been dropped because of Ummu Salamah said: "If we women will jihad and get a reward like that earned the men". Al-Mahalli added </w:t>
      </w:r>
      <w:r w:rsidRPr="00A42B4C">
        <w:rPr>
          <w:i/>
          <w:iCs/>
          <w:sz w:val="20"/>
          <w:szCs w:val="20"/>
        </w:rPr>
        <w:t>was'alu</w:t>
      </w:r>
      <w:r w:rsidRPr="00A42B4C">
        <w:rPr>
          <w:sz w:val="20"/>
          <w:szCs w:val="20"/>
        </w:rPr>
        <w:t xml:space="preserve"> readings could use </w:t>
      </w:r>
      <w:r w:rsidRPr="00A42B4C">
        <w:rPr>
          <w:i/>
          <w:iCs/>
          <w:sz w:val="20"/>
          <w:szCs w:val="20"/>
        </w:rPr>
        <w:t>hamzah</w:t>
      </w:r>
      <w:r w:rsidRPr="00A42B4C">
        <w:rPr>
          <w:sz w:val="20"/>
          <w:szCs w:val="20"/>
        </w:rPr>
        <w:t xml:space="preserve"> or not.</w:t>
      </w:r>
      <w:r w:rsidRPr="00A42B4C">
        <w:rPr>
          <w:rStyle w:val="EndnoteReference"/>
          <w:sz w:val="20"/>
          <w:szCs w:val="20"/>
        </w:rPr>
        <w:t xml:space="preserve"> </w:t>
      </w:r>
      <w:r>
        <w:rPr>
          <w:sz w:val="20"/>
          <w:szCs w:val="20"/>
        </w:rPr>
        <w:t>[</w:t>
      </w:r>
      <w:r w:rsidRPr="004766D9">
        <w:rPr>
          <w:rStyle w:val="EndnoteReference"/>
          <w:sz w:val="20"/>
          <w:szCs w:val="20"/>
        </w:rPr>
        <w:endnoteReference w:id="55"/>
      </w:r>
      <w:r>
        <w:rPr>
          <w:sz w:val="20"/>
          <w:szCs w:val="20"/>
        </w:rPr>
        <w:t>]</w:t>
      </w:r>
    </w:p>
    <w:p w:rsidR="00304503" w:rsidRPr="00A42B4C" w:rsidRDefault="00304503" w:rsidP="005D6B11">
      <w:pPr>
        <w:spacing w:before="0" w:after="0"/>
        <w:ind w:left="0" w:firstLine="284"/>
        <w:rPr>
          <w:sz w:val="20"/>
          <w:szCs w:val="20"/>
        </w:rPr>
      </w:pPr>
      <w:r w:rsidRPr="00A42B4C">
        <w:rPr>
          <w:sz w:val="20"/>
          <w:szCs w:val="20"/>
        </w:rPr>
        <w:t>In this verse again seen closeness between tafsir</w:t>
      </w:r>
      <w:r w:rsidRPr="00A42B4C">
        <w:rPr>
          <w:i/>
          <w:iCs/>
          <w:sz w:val="20"/>
          <w:szCs w:val="20"/>
        </w:rPr>
        <w:t xml:space="preserve"> Turjuman al-Mustafid</w:t>
      </w:r>
      <w:r w:rsidRPr="00A42B4C">
        <w:rPr>
          <w:sz w:val="20"/>
          <w:szCs w:val="20"/>
        </w:rPr>
        <w:t xml:space="preserve"> with </w:t>
      </w:r>
      <w:r w:rsidRPr="00A42B4C">
        <w:rPr>
          <w:i/>
          <w:iCs/>
          <w:sz w:val="20"/>
          <w:szCs w:val="20"/>
        </w:rPr>
        <w:t>Tafsir Jalalain</w:t>
      </w:r>
      <w:r w:rsidRPr="00A42B4C">
        <w:rPr>
          <w:sz w:val="20"/>
          <w:szCs w:val="20"/>
        </w:rPr>
        <w:t xml:space="preserve">. However, 'Abd al-Ra'uf did not include discussion of </w:t>
      </w:r>
      <w:r w:rsidRPr="00A42B4C">
        <w:rPr>
          <w:i/>
          <w:iCs/>
          <w:sz w:val="20"/>
          <w:szCs w:val="20"/>
        </w:rPr>
        <w:t>nahwu</w:t>
      </w:r>
      <w:r w:rsidRPr="00A42B4C">
        <w:rPr>
          <w:sz w:val="20"/>
          <w:szCs w:val="20"/>
        </w:rPr>
        <w:t xml:space="preserve"> in his tafsir. Their quotations </w:t>
      </w:r>
      <w:r w:rsidRPr="00A42B4C">
        <w:rPr>
          <w:i/>
          <w:iCs/>
          <w:sz w:val="20"/>
          <w:szCs w:val="20"/>
        </w:rPr>
        <w:t>sabab al-Nuzul</w:t>
      </w:r>
      <w:r w:rsidRPr="00A42B4C">
        <w:rPr>
          <w:sz w:val="20"/>
          <w:szCs w:val="20"/>
        </w:rPr>
        <w:t xml:space="preserve"> in mid of verse without mentioning the source of his tafsir increasingly provide an explanation that Turjuman is a translation from Jalalain-adjusted by their translators. Regarding the position and the work of women, according to 'Abd al-</w:t>
      </w:r>
      <w:r w:rsidRPr="00A42B4C">
        <w:rPr>
          <w:sz w:val="20"/>
          <w:szCs w:val="20"/>
        </w:rPr>
        <w:lastRenderedPageBreak/>
        <w:t xml:space="preserve">Ra'uf is her service to her husband and her obedience in keeping </w:t>
      </w:r>
      <w:r w:rsidRPr="00A42B4C">
        <w:rPr>
          <w:i/>
          <w:iCs/>
          <w:sz w:val="20"/>
          <w:szCs w:val="20"/>
        </w:rPr>
        <w:t>faraj</w:t>
      </w:r>
      <w:r w:rsidRPr="00A42B4C">
        <w:rPr>
          <w:sz w:val="20"/>
          <w:szCs w:val="20"/>
        </w:rPr>
        <w:t>. While a man rewarded for jihad, or go to war. If viewed through the perspective of gender and feminism, then the work done by women at the domestic space while the work of a man is in the public domain.</w:t>
      </w:r>
      <w:r w:rsidRPr="00A42B4C">
        <w:rPr>
          <w:rStyle w:val="EndnoteReference"/>
          <w:sz w:val="20"/>
          <w:szCs w:val="20"/>
        </w:rPr>
        <w:t xml:space="preserve"> </w:t>
      </w:r>
      <w:r>
        <w:rPr>
          <w:sz w:val="20"/>
          <w:szCs w:val="20"/>
        </w:rPr>
        <w:t>[</w:t>
      </w:r>
      <w:r w:rsidRPr="00A42B4C">
        <w:rPr>
          <w:rStyle w:val="EndnoteReference"/>
          <w:sz w:val="20"/>
          <w:szCs w:val="20"/>
        </w:rPr>
        <w:endnoteReference w:id="56"/>
      </w:r>
      <w:r>
        <w:rPr>
          <w:sz w:val="20"/>
          <w:szCs w:val="20"/>
        </w:rPr>
        <w:t>]</w:t>
      </w:r>
    </w:p>
    <w:p w:rsidR="00304503" w:rsidRDefault="00304503" w:rsidP="005D6B11">
      <w:pPr>
        <w:spacing w:before="0" w:after="0"/>
        <w:ind w:left="0" w:firstLine="284"/>
        <w:rPr>
          <w:b/>
          <w:bCs/>
          <w:sz w:val="20"/>
          <w:szCs w:val="20"/>
        </w:rPr>
      </w:pPr>
    </w:p>
    <w:p w:rsidR="00304503" w:rsidRPr="00A42B4C" w:rsidRDefault="00304503" w:rsidP="005D6B11">
      <w:pPr>
        <w:spacing w:before="0" w:after="0"/>
        <w:ind w:left="0" w:firstLine="284"/>
        <w:rPr>
          <w:b/>
          <w:bCs/>
          <w:sz w:val="20"/>
          <w:szCs w:val="20"/>
        </w:rPr>
      </w:pPr>
      <w:r w:rsidRPr="00A42B4C">
        <w:rPr>
          <w:b/>
          <w:bCs/>
          <w:sz w:val="20"/>
          <w:szCs w:val="20"/>
        </w:rPr>
        <w:t>Qs, al-Nisa’/4: 34</w:t>
      </w:r>
    </w:p>
    <w:p w:rsidR="00304503" w:rsidRPr="00A42B4C" w:rsidRDefault="00304503" w:rsidP="005D6B11">
      <w:pPr>
        <w:spacing w:before="0" w:after="0"/>
        <w:ind w:left="0" w:firstLine="284"/>
        <w:rPr>
          <w:i/>
          <w:iCs/>
          <w:sz w:val="20"/>
          <w:szCs w:val="20"/>
        </w:rPr>
      </w:pPr>
      <w:r w:rsidRPr="00A42B4C">
        <w:rPr>
          <w:i/>
          <w:iCs/>
          <w:sz w:val="20"/>
          <w:szCs w:val="20"/>
        </w:rPr>
        <w:t>Bermula segala laki-laki itu dikeraskan mereka itu atas segala perempuan dengan sebab dilebihkan segala laki-laki itu atas segala perempuan dengan ilmu dan akal dan wilayah dan dengan sabab dibanyakkan mereka itu atas mereka itu daripada segala (</w:t>
      </w:r>
      <w:r w:rsidRPr="00A42B4C">
        <w:rPr>
          <w:sz w:val="20"/>
          <w:szCs w:val="20"/>
          <w:rtl/>
        </w:rPr>
        <w:t xml:space="preserve">ارت </w:t>
      </w:r>
      <w:r w:rsidRPr="00A42B4C">
        <w:rPr>
          <w:sz w:val="20"/>
          <w:szCs w:val="20"/>
        </w:rPr>
        <w:t xml:space="preserve"> </w:t>
      </w:r>
      <w:r w:rsidRPr="00A42B4C">
        <w:rPr>
          <w:i/>
          <w:iCs/>
          <w:sz w:val="20"/>
          <w:szCs w:val="20"/>
        </w:rPr>
        <w:t>/ arti - urat) mereka itu.</w:t>
      </w:r>
    </w:p>
    <w:p w:rsidR="00304503" w:rsidRPr="00A42B4C" w:rsidRDefault="00304503" w:rsidP="005D6B11">
      <w:pPr>
        <w:spacing w:before="0" w:after="0"/>
        <w:ind w:left="0" w:firstLine="284"/>
        <w:rPr>
          <w:i/>
          <w:iCs/>
          <w:sz w:val="20"/>
          <w:szCs w:val="20"/>
        </w:rPr>
      </w:pPr>
      <w:r w:rsidRPr="00A42B4C">
        <w:rPr>
          <w:i/>
          <w:iCs/>
          <w:sz w:val="20"/>
          <w:szCs w:val="20"/>
        </w:rPr>
        <w:t>Maka segala perempuan yang shalih itu berbuat bakti mereka itu atas segala suami mereka itu lagi memelihara mereka itu bagi segala faraj mereka itu pada ketika gaib segala suami mereka itu dengan sebab dipelihara akan Allah ta’ala mereka itu.</w:t>
      </w:r>
    </w:p>
    <w:p w:rsidR="00304503" w:rsidRPr="00A42B4C" w:rsidRDefault="00304503" w:rsidP="005D6B11">
      <w:pPr>
        <w:spacing w:before="0" w:after="0"/>
        <w:ind w:left="0" w:firstLine="284"/>
        <w:rPr>
          <w:i/>
          <w:iCs/>
          <w:sz w:val="20"/>
          <w:szCs w:val="20"/>
        </w:rPr>
      </w:pPr>
      <w:r w:rsidRPr="00A42B4C">
        <w:rPr>
          <w:i/>
          <w:iCs/>
          <w:sz w:val="20"/>
          <w:szCs w:val="20"/>
        </w:rPr>
        <w:t>Dan segala perempuan yang kamu ketakuti akan durhaka mereka itu bagi kamu maka pertakuti oleh kamu mereka itu akan Allah Ta’ala dan hilang / halang (</w:t>
      </w:r>
      <w:r w:rsidRPr="00A42B4C">
        <w:rPr>
          <w:sz w:val="20"/>
          <w:szCs w:val="20"/>
          <w:rtl/>
        </w:rPr>
        <w:t>هيلغ</w:t>
      </w:r>
      <w:r w:rsidRPr="00A42B4C">
        <w:rPr>
          <w:i/>
          <w:iCs/>
          <w:sz w:val="20"/>
          <w:szCs w:val="20"/>
        </w:rPr>
        <w:t>) oleh kamu mereka itu daripada segala ketiduran dan pukul oleh kamu mereka itu dengan pukul yang tiada memberi cidera apabila tiada mereka itu kembali kembali kepada thaat dengan hilang/halang itu.</w:t>
      </w:r>
    </w:p>
    <w:p w:rsidR="00304503" w:rsidRPr="00A42B4C" w:rsidRDefault="00304503" w:rsidP="005D6B11">
      <w:pPr>
        <w:spacing w:before="0" w:after="0"/>
        <w:ind w:left="0" w:firstLine="284"/>
        <w:rPr>
          <w:i/>
          <w:iCs/>
          <w:sz w:val="20"/>
          <w:szCs w:val="20"/>
        </w:rPr>
      </w:pPr>
      <w:r w:rsidRPr="00A42B4C">
        <w:rPr>
          <w:i/>
          <w:iCs/>
          <w:sz w:val="20"/>
          <w:szCs w:val="20"/>
        </w:rPr>
        <w:t>Maka jika thaat mereka itu akan  kamu pada barang yang kamu kehendaki daripada mereka itu maka jangan dituntut atas mereka itu jalan kepada memukul pada hal kamu aniaya. Bahwasanya Allah Ta’ala adalah ia yang amat tinggi lagi yang besar maka ketakutilah oleh kamu akan Dia.</w:t>
      </w:r>
      <w:r>
        <w:rPr>
          <w:i/>
          <w:iCs/>
          <w:sz w:val="20"/>
          <w:szCs w:val="20"/>
        </w:rPr>
        <w:t>[</w:t>
      </w:r>
      <w:r w:rsidRPr="00A42B4C">
        <w:rPr>
          <w:rStyle w:val="EndnoteReference"/>
          <w:i/>
          <w:iCs/>
          <w:sz w:val="20"/>
          <w:szCs w:val="20"/>
        </w:rPr>
        <w:endnoteReference w:id="57"/>
      </w:r>
      <w:r>
        <w:rPr>
          <w:i/>
          <w:iCs/>
          <w:sz w:val="20"/>
          <w:szCs w:val="20"/>
        </w:rPr>
        <w:t>]</w:t>
      </w:r>
    </w:p>
    <w:p w:rsidR="00304503" w:rsidRPr="00A42B4C" w:rsidRDefault="00304503" w:rsidP="005D6B11">
      <w:pPr>
        <w:spacing w:before="0" w:after="0"/>
        <w:ind w:left="0" w:firstLine="284"/>
        <w:rPr>
          <w:sz w:val="20"/>
          <w:szCs w:val="20"/>
        </w:rPr>
      </w:pPr>
      <w:r w:rsidRPr="00A42B4C">
        <w:rPr>
          <w:sz w:val="20"/>
          <w:szCs w:val="20"/>
        </w:rPr>
        <w:t xml:space="preserve">In the above verse, the author gives emphasis to the three Arabic-language vocabulary, especially in the word </w:t>
      </w:r>
      <w:r w:rsidRPr="00A42B4C">
        <w:rPr>
          <w:i/>
          <w:iCs/>
          <w:sz w:val="20"/>
          <w:szCs w:val="20"/>
        </w:rPr>
        <w:t>wilayah</w:t>
      </w:r>
      <w:r w:rsidRPr="00A42B4C">
        <w:rPr>
          <w:sz w:val="20"/>
          <w:szCs w:val="20"/>
        </w:rPr>
        <w:t>. The author has not been able to find reasons for the use of this word in the Arabic language of the 17th century in Nusantara. It may be that these words have been widely recognized in the community or sultanate family of Aceh, or it is no intention of the author of its own so it does not translate the word into the Malay language.</w:t>
      </w:r>
    </w:p>
    <w:p w:rsidR="00304503" w:rsidRPr="00A42B4C" w:rsidRDefault="00304503" w:rsidP="005D6B11">
      <w:pPr>
        <w:spacing w:before="0" w:after="0"/>
        <w:ind w:left="0" w:firstLine="284"/>
        <w:rPr>
          <w:sz w:val="20"/>
          <w:szCs w:val="20"/>
        </w:rPr>
      </w:pPr>
      <w:r w:rsidRPr="00A42B4C">
        <w:rPr>
          <w:sz w:val="20"/>
          <w:szCs w:val="20"/>
        </w:rPr>
        <w:t>According to al-Baidhawi, superiority of male over female is perfectly reasonable, good learning (</w:t>
      </w:r>
      <w:r w:rsidRPr="00A42B4C">
        <w:rPr>
          <w:i/>
          <w:iCs/>
          <w:sz w:val="20"/>
          <w:szCs w:val="20"/>
        </w:rPr>
        <w:t>husn al-tadbir</w:t>
      </w:r>
      <w:r w:rsidRPr="00A42B4C">
        <w:rPr>
          <w:sz w:val="20"/>
          <w:szCs w:val="20"/>
        </w:rPr>
        <w:t>), increasing strength in the work and obedience, therefore they devoted to occupy the prophetic leadership (imamah), the region, and establish the entire sharia law, recognition in court, obligation on Friday and jihad, as well as over the amount of inheritance.</w:t>
      </w:r>
      <w:r w:rsidRPr="00A42B4C">
        <w:rPr>
          <w:rStyle w:val="EndnoteReference"/>
          <w:sz w:val="20"/>
          <w:szCs w:val="20"/>
        </w:rPr>
        <w:endnoteReference w:id="58"/>
      </w:r>
      <w:r w:rsidRPr="00A42B4C">
        <w:rPr>
          <w:sz w:val="20"/>
          <w:szCs w:val="20"/>
        </w:rPr>
        <w:t xml:space="preserve"> The advantages of a man over a woman according to al-Mahalli are in the matter of science, reason, and other regions. As for the wife who </w:t>
      </w:r>
      <w:r w:rsidRPr="00A42B4C">
        <w:rPr>
          <w:i/>
          <w:iCs/>
          <w:sz w:val="20"/>
          <w:szCs w:val="20"/>
        </w:rPr>
        <w:t>nusyudz</w:t>
      </w:r>
      <w:r w:rsidRPr="00A42B4C">
        <w:rPr>
          <w:sz w:val="20"/>
          <w:szCs w:val="20"/>
        </w:rPr>
        <w:t xml:space="preserve"> then let advised to fear Allah, separate bunk and hit with a punch that does not hurt if it does not return obedient after marital separation.</w:t>
      </w:r>
      <w:r>
        <w:rPr>
          <w:sz w:val="20"/>
          <w:szCs w:val="20"/>
        </w:rPr>
        <w:t>[</w:t>
      </w:r>
      <w:r w:rsidRPr="00A42B4C">
        <w:rPr>
          <w:rStyle w:val="EndnoteReference"/>
          <w:sz w:val="20"/>
          <w:szCs w:val="20"/>
        </w:rPr>
        <w:endnoteReference w:id="59"/>
      </w:r>
      <w:r>
        <w:rPr>
          <w:sz w:val="20"/>
          <w:szCs w:val="20"/>
        </w:rPr>
        <w:t>]</w:t>
      </w:r>
    </w:p>
    <w:p w:rsidR="00304503" w:rsidRPr="00A42B4C" w:rsidRDefault="00304503" w:rsidP="005D6B11">
      <w:pPr>
        <w:spacing w:before="0" w:after="0"/>
        <w:ind w:left="0" w:firstLine="284"/>
        <w:rPr>
          <w:sz w:val="20"/>
          <w:szCs w:val="20"/>
        </w:rPr>
      </w:pPr>
      <w:r w:rsidRPr="00A42B4C">
        <w:rPr>
          <w:sz w:val="20"/>
          <w:szCs w:val="20"/>
        </w:rPr>
        <w:t xml:space="preserve">In this section can be understood that the man has some advantages, namely in terms of science, reason, and region. Moreover, against a wife who </w:t>
      </w:r>
      <w:r w:rsidRPr="00A42B4C">
        <w:rPr>
          <w:i/>
          <w:iCs/>
          <w:sz w:val="20"/>
          <w:szCs w:val="20"/>
        </w:rPr>
        <w:t>nusyudz</w:t>
      </w:r>
      <w:r w:rsidRPr="00A42B4C">
        <w:rPr>
          <w:sz w:val="20"/>
          <w:szCs w:val="20"/>
        </w:rPr>
        <w:t xml:space="preserve"> there are three steps that must be done is to advise, separate beds (not separated house or separate rooms), and hit with punches that do not injure.</w:t>
      </w:r>
    </w:p>
    <w:p w:rsidR="00304503" w:rsidRPr="00A42B4C" w:rsidRDefault="00304503" w:rsidP="005D6B11">
      <w:pPr>
        <w:spacing w:before="0" w:after="0"/>
        <w:ind w:left="0" w:firstLine="284"/>
        <w:rPr>
          <w:sz w:val="20"/>
          <w:szCs w:val="20"/>
        </w:rPr>
      </w:pPr>
      <w:r w:rsidRPr="00A42B4C">
        <w:rPr>
          <w:sz w:val="20"/>
          <w:szCs w:val="20"/>
        </w:rPr>
        <w:t xml:space="preserve">From this, it appears that 'Abd al-Ra'uf not translate word wilayah into Malay. There is some analysis that can be applied to see this fact. First, it could be said the word </w:t>
      </w:r>
      <w:r w:rsidRPr="00A42B4C">
        <w:rPr>
          <w:i/>
          <w:iCs/>
          <w:sz w:val="20"/>
          <w:szCs w:val="20"/>
        </w:rPr>
        <w:t>wilayah</w:t>
      </w:r>
      <w:r w:rsidRPr="00A42B4C">
        <w:rPr>
          <w:sz w:val="20"/>
          <w:szCs w:val="20"/>
        </w:rPr>
        <w:t xml:space="preserve"> has been widespread in the community so that the empire has become a loan word Malay. Second, this word deliberately not translated as prudence 'Abd al-Ra'uf, because if the word can be translated happen havoc in communities about Sultanah leadership. This fact strengthens the hypothesis that the beginning writer Tafsir Turjuman al-Mustafid is a translation of Tafsir Jalalain which has been adapted by 'Abd al-Ra'uf Singkel with the Acehnese social conditions of the time.</w:t>
      </w:r>
    </w:p>
    <w:p w:rsidR="00304503" w:rsidRPr="00A42B4C" w:rsidRDefault="00304503" w:rsidP="005D6B11">
      <w:pPr>
        <w:spacing w:before="0" w:after="0"/>
        <w:ind w:left="0" w:firstLine="284"/>
        <w:rPr>
          <w:sz w:val="20"/>
          <w:szCs w:val="20"/>
        </w:rPr>
      </w:pPr>
    </w:p>
    <w:p w:rsidR="00304503" w:rsidRPr="00A42B4C" w:rsidRDefault="00304503" w:rsidP="005D6B11">
      <w:pPr>
        <w:spacing w:before="0" w:after="0"/>
        <w:ind w:left="0" w:firstLine="284"/>
        <w:rPr>
          <w:b/>
          <w:bCs/>
          <w:sz w:val="20"/>
          <w:szCs w:val="20"/>
          <w:rtl/>
        </w:rPr>
      </w:pPr>
      <w:r w:rsidRPr="00A42B4C">
        <w:rPr>
          <w:sz w:val="20"/>
          <w:szCs w:val="20"/>
        </w:rPr>
        <w:tab/>
      </w:r>
      <w:r w:rsidRPr="00A42B4C">
        <w:rPr>
          <w:b/>
          <w:bCs/>
          <w:sz w:val="20"/>
          <w:szCs w:val="20"/>
        </w:rPr>
        <w:t>Qs, al-Nisa’/4 : 124</w:t>
      </w:r>
    </w:p>
    <w:p w:rsidR="00304503" w:rsidRPr="00A42B4C" w:rsidRDefault="00304503" w:rsidP="005D6B11">
      <w:pPr>
        <w:spacing w:before="0" w:after="0"/>
        <w:ind w:left="0" w:firstLine="284"/>
        <w:rPr>
          <w:i/>
          <w:iCs/>
          <w:sz w:val="20"/>
          <w:szCs w:val="20"/>
        </w:rPr>
      </w:pPr>
      <w:r w:rsidRPr="00A42B4C">
        <w:rPr>
          <w:i/>
          <w:iCs/>
          <w:sz w:val="20"/>
          <w:szCs w:val="20"/>
        </w:rPr>
        <w:t xml:space="preserve">Dan barang siapa yang mengerjakan suatu dari pada segala amal yang shalih dari pada segala laki-laki atau perempuan, padahal ia mukmin, maka mereka itulah yang masuk ke dalam syurga dan tiada dianiyai </w:t>
      </w:r>
      <w:r w:rsidRPr="00A42B4C">
        <w:rPr>
          <w:sz w:val="20"/>
          <w:szCs w:val="20"/>
        </w:rPr>
        <w:t>(</w:t>
      </w:r>
      <w:r w:rsidRPr="00A42B4C">
        <w:rPr>
          <w:sz w:val="20"/>
          <w:szCs w:val="20"/>
          <w:rtl/>
        </w:rPr>
        <w:t>دانيائى</w:t>
      </w:r>
      <w:r w:rsidRPr="00A42B4C">
        <w:rPr>
          <w:sz w:val="20"/>
          <w:szCs w:val="20"/>
        </w:rPr>
        <w:t>)</w:t>
      </w:r>
      <w:r w:rsidRPr="00A42B4C">
        <w:rPr>
          <w:i/>
          <w:iCs/>
          <w:sz w:val="20"/>
          <w:szCs w:val="20"/>
        </w:rPr>
        <w:t xml:space="preserve"> mereka itu dengan sekira-kira lubang biji jarum jua pun. (Faidah) Pada menyatakan Ikhtilaf antara segala Qari’ yang tiga pada membaca “yadkhuluna” maka Nafi’ dan Hafsh ittifaq keduanya atas membaca dia dengan fathah ya-nya serta dhummah kha-nya dan Abu ‘Amr membaca dia dengan dhummah ya-nya serta fathah kha-nya adalah maknanya tatkala itu yang dimasukkan mereka itu  ke dalam syurga.</w:t>
      </w:r>
    </w:p>
    <w:p w:rsidR="00304503" w:rsidRPr="00A42B4C" w:rsidRDefault="00304503" w:rsidP="005D6B11">
      <w:pPr>
        <w:spacing w:before="0" w:after="0"/>
        <w:ind w:left="0" w:firstLine="284"/>
        <w:rPr>
          <w:sz w:val="20"/>
          <w:szCs w:val="20"/>
        </w:rPr>
      </w:pPr>
    </w:p>
    <w:p w:rsidR="00304503" w:rsidRPr="00A42B4C" w:rsidRDefault="00304503" w:rsidP="005D6B11">
      <w:pPr>
        <w:spacing w:before="0" w:after="0"/>
        <w:ind w:left="0" w:firstLine="284"/>
        <w:rPr>
          <w:sz w:val="20"/>
          <w:szCs w:val="20"/>
        </w:rPr>
      </w:pPr>
      <w:r w:rsidRPr="00A42B4C">
        <w:rPr>
          <w:sz w:val="20"/>
          <w:szCs w:val="20"/>
        </w:rPr>
        <w:t>Al-Baidhawi interprets the verse as follows:</w:t>
      </w:r>
    </w:p>
    <w:p w:rsidR="00304503" w:rsidRPr="00A42B4C" w:rsidRDefault="00304503" w:rsidP="005D6B11">
      <w:pPr>
        <w:spacing w:before="0" w:after="0"/>
        <w:ind w:left="0"/>
        <w:jc w:val="right"/>
        <w:rPr>
          <w:rFonts w:ascii="Arabic Typesetting" w:hAnsi="Arabic Typesetting" w:cs="Arabic Typesetting"/>
          <w:color w:val="000000"/>
          <w:sz w:val="20"/>
          <w:szCs w:val="20"/>
          <w:rtl/>
        </w:rPr>
      </w:pPr>
      <w:r w:rsidRPr="00A42B4C">
        <w:rPr>
          <w:rFonts w:ascii="Arabic Typesetting" w:hAnsi="Arabic Typesetting" w:cs="Arabic Typesetting"/>
          <w:color w:val="000000"/>
          <w:sz w:val="20"/>
          <w:szCs w:val="20"/>
          <w:rtl/>
        </w:rPr>
        <w:t>وَمَنْ يَعْمَلْ مِنَ الصَّالِحاتِ بعضها أو شيئاً منها فإن كل أحد لا يتمكن من كلها وليس مكلفاً بها.</w:t>
      </w:r>
      <w:r w:rsidRPr="00A42B4C">
        <w:rPr>
          <w:rFonts w:ascii="Arabic Typesetting" w:hAnsi="Arabic Typesetting" w:cs="Arabic Typesetting"/>
          <w:color w:val="000000"/>
          <w:sz w:val="20"/>
          <w:szCs w:val="20"/>
        </w:rPr>
        <w:t xml:space="preserve"> </w:t>
      </w:r>
      <w:r w:rsidRPr="00A42B4C">
        <w:rPr>
          <w:rFonts w:ascii="Arabic Typesetting" w:hAnsi="Arabic Typesetting" w:cs="Arabic Typesetting"/>
          <w:color w:val="000000"/>
          <w:sz w:val="20"/>
          <w:szCs w:val="20"/>
          <w:rtl/>
        </w:rPr>
        <w:t>مِنْ ذَكَرٍ أَوْ أُنْثى في موضع الحال من المستكن في يعمل</w:t>
      </w:r>
      <w:r w:rsidRPr="00A42B4C">
        <w:rPr>
          <w:rFonts w:ascii="Arabic Typesetting" w:hAnsi="Arabic Typesetting" w:cs="Arabic Typesetting"/>
          <w:color w:val="000000"/>
          <w:sz w:val="20"/>
          <w:szCs w:val="20"/>
        </w:rPr>
        <w:t>.</w:t>
      </w:r>
      <w:r w:rsidRPr="00A42B4C">
        <w:rPr>
          <w:rFonts w:ascii="Arabic Typesetting" w:hAnsi="Arabic Typesetting" w:cs="Arabic Typesetting"/>
          <w:color w:val="000000"/>
          <w:sz w:val="20"/>
          <w:szCs w:val="20"/>
          <w:rtl/>
        </w:rPr>
        <w:t xml:space="preserve"> ومَنْ للبيان أو من الصالحات أي كائنة مِّن ذَكَرٍ أَوْ أنثى ومن للابتداء. وَهُوَ مُؤْمِنٌ حال شرط اقتران العمل بها في استدعاء الثواب المذكور وتنبيهاً على أنه لا اعتداد به دونه فيه. فَأُولئِكَ يَدْخُلُونَ الْجَنَّةَ وَلا يُظْلَمُونَ نَقِيراً بنقص شيء من الثواب وإذا لم ينقص ثواب المطيع فبالحري أن لا يزاد عقاب العاصي</w:t>
      </w:r>
      <w:r w:rsidRPr="00A42B4C">
        <w:rPr>
          <w:rFonts w:ascii="Arabic Typesetting" w:hAnsi="Arabic Typesetting" w:cs="Arabic Typesetting"/>
          <w:color w:val="000000"/>
          <w:sz w:val="20"/>
          <w:szCs w:val="20"/>
        </w:rPr>
        <w:t>.</w:t>
      </w:r>
      <w:r w:rsidRPr="00A42B4C">
        <w:rPr>
          <w:rFonts w:ascii="Arabic Typesetting" w:hAnsi="Arabic Typesetting" w:cs="Arabic Typesetting"/>
          <w:color w:val="000000"/>
          <w:sz w:val="20"/>
          <w:szCs w:val="20"/>
          <w:rtl/>
        </w:rPr>
        <w:t xml:space="preserve"> لأن المجازي أرحم الراحمين</w:t>
      </w:r>
      <w:r w:rsidRPr="00A42B4C">
        <w:rPr>
          <w:rFonts w:ascii="Arabic Typesetting" w:hAnsi="Arabic Typesetting" w:cs="Arabic Typesetting"/>
          <w:color w:val="000000"/>
          <w:sz w:val="20"/>
          <w:szCs w:val="20"/>
        </w:rPr>
        <w:t>.</w:t>
      </w:r>
      <w:r w:rsidRPr="00A42B4C">
        <w:rPr>
          <w:rFonts w:ascii="Arabic Typesetting" w:hAnsi="Arabic Typesetting" w:cs="Arabic Typesetting"/>
          <w:color w:val="000000"/>
          <w:sz w:val="20"/>
          <w:szCs w:val="20"/>
          <w:rtl/>
        </w:rPr>
        <w:t xml:space="preserve"> ولذلك اقتصر على ذكره عقيب الثواب. وقرأ ابن كثير وأبو عمرو وأبو بكر يَدْخُلُونَ الْجَنَّةَ هنا وفي «غافر» و «مريم» بضم الياء وفتح الخاء والباقون بفتح الياء وضم الخاء.</w:t>
      </w:r>
      <w:r w:rsidRPr="00A42B4C">
        <w:rPr>
          <w:rStyle w:val="EndnoteReference"/>
          <w:rFonts w:ascii="Arabic Typesetting" w:hAnsi="Arabic Typesetting" w:cs="Arabic Typesetting"/>
          <w:color w:val="000000"/>
          <w:sz w:val="20"/>
          <w:szCs w:val="20"/>
          <w:rtl/>
        </w:rPr>
        <w:endnoteReference w:id="60"/>
      </w:r>
    </w:p>
    <w:p w:rsidR="00304503" w:rsidRDefault="00304503">
      <w:pPr>
        <w:spacing w:before="0" w:after="200" w:line="276" w:lineRule="auto"/>
        <w:ind w:left="0"/>
        <w:jc w:val="left"/>
        <w:rPr>
          <w:sz w:val="20"/>
          <w:szCs w:val="20"/>
        </w:rPr>
      </w:pPr>
      <w:r>
        <w:rPr>
          <w:sz w:val="20"/>
          <w:szCs w:val="20"/>
        </w:rPr>
        <w:br w:type="page"/>
      </w:r>
    </w:p>
    <w:p w:rsidR="00304503" w:rsidRDefault="00304503" w:rsidP="005D6B11">
      <w:pPr>
        <w:spacing w:after="0"/>
        <w:ind w:left="0"/>
        <w:rPr>
          <w:sz w:val="20"/>
          <w:szCs w:val="20"/>
        </w:rPr>
      </w:pPr>
    </w:p>
    <w:p w:rsidR="00304503" w:rsidRPr="00A42B4C" w:rsidRDefault="00304503" w:rsidP="005D6B11">
      <w:pPr>
        <w:spacing w:after="0"/>
        <w:ind w:left="0"/>
        <w:rPr>
          <w:sz w:val="20"/>
          <w:szCs w:val="20"/>
        </w:rPr>
      </w:pPr>
      <w:r w:rsidRPr="00A42B4C">
        <w:rPr>
          <w:sz w:val="20"/>
          <w:szCs w:val="20"/>
        </w:rPr>
        <w:t xml:space="preserve">While priest al-Mahalli explain this verse as following  : </w:t>
      </w:r>
    </w:p>
    <w:p w:rsidR="00304503" w:rsidRPr="00A42B4C" w:rsidRDefault="00304503" w:rsidP="005D6B11">
      <w:pPr>
        <w:autoSpaceDE w:val="0"/>
        <w:autoSpaceDN w:val="0"/>
        <w:bidi/>
        <w:adjustRightInd w:val="0"/>
        <w:spacing w:after="0"/>
        <w:ind w:left="95"/>
        <w:rPr>
          <w:color w:val="000000"/>
          <w:sz w:val="20"/>
          <w:szCs w:val="20"/>
        </w:rPr>
      </w:pPr>
      <w:r w:rsidRPr="00A42B4C">
        <w:rPr>
          <w:color w:val="000000"/>
          <w:sz w:val="20"/>
          <w:szCs w:val="20"/>
          <w:rtl/>
        </w:rPr>
        <w:t>{وَمَنْ يَعْمَل} شَيْئًا {مِنْ الصَّالِحَات مِنْ ذَكَر أَوْ أُنْثَى وَهُوَ مُؤْمِن فَأُولَئِكَ يَدْخُلُونَ} بِالْبِنَاءِ لِلْمَفْعُولِ وَالْفَاعِل {الْجَنَّة وَلَا يُظْلَمُونَ نَقِيرًا} قَدْر نقرة النواة</w:t>
      </w:r>
      <w:r>
        <w:rPr>
          <w:color w:val="000000"/>
          <w:sz w:val="20"/>
          <w:szCs w:val="20"/>
          <w:rtl/>
        </w:rPr>
        <w:t>[</w:t>
      </w:r>
      <w:r w:rsidRPr="004766D9">
        <w:rPr>
          <w:rStyle w:val="EndnoteReference"/>
          <w:color w:val="000000"/>
          <w:sz w:val="20"/>
          <w:szCs w:val="20"/>
          <w:rtl/>
        </w:rPr>
        <w:endnoteReference w:id="61"/>
      </w:r>
      <w:r>
        <w:rPr>
          <w:color w:val="000000"/>
          <w:sz w:val="20"/>
          <w:szCs w:val="20"/>
          <w:rtl/>
        </w:rPr>
        <w:t>]</w:t>
      </w:r>
    </w:p>
    <w:p w:rsidR="00304503" w:rsidRPr="00A42B4C" w:rsidRDefault="00304503" w:rsidP="005D6B11">
      <w:pPr>
        <w:spacing w:after="0"/>
        <w:ind w:left="0" w:firstLine="284"/>
        <w:rPr>
          <w:sz w:val="20"/>
          <w:szCs w:val="20"/>
        </w:rPr>
      </w:pPr>
      <w:r w:rsidRPr="00A42B4C">
        <w:rPr>
          <w:sz w:val="20"/>
          <w:szCs w:val="20"/>
        </w:rPr>
        <w:t>Tafsir described by 'Abd Ra'uf closer to interpretation of al-Mahalli. However, their "</w:t>
      </w:r>
      <w:r w:rsidRPr="00A42B4C">
        <w:rPr>
          <w:i/>
          <w:iCs/>
          <w:sz w:val="20"/>
          <w:szCs w:val="20"/>
        </w:rPr>
        <w:t>faidah</w:t>
      </w:r>
      <w:r w:rsidRPr="00A42B4C">
        <w:rPr>
          <w:sz w:val="20"/>
          <w:szCs w:val="20"/>
        </w:rPr>
        <w:t xml:space="preserve">" ​​which specifically separated by parentheses explaining how to read </w:t>
      </w:r>
      <w:r w:rsidRPr="00A42B4C">
        <w:rPr>
          <w:i/>
          <w:iCs/>
          <w:sz w:val="20"/>
          <w:szCs w:val="20"/>
        </w:rPr>
        <w:t>lafadz Yadkhuluna</w:t>
      </w:r>
      <w:r w:rsidRPr="00A42B4C">
        <w:rPr>
          <w:sz w:val="20"/>
          <w:szCs w:val="20"/>
        </w:rPr>
        <w:t xml:space="preserve"> difference is not exist in Jalalain. Information on this case is contained in al-Baidhawi, but different from three Qari mentioned. In Turjuman mentioned that Qari are Nafi ', ​​Hafsh and Abu Amr. While Qari mentioned in al-Baidhawi are Ibn 'Amr, Abu Bakr, and Ibn Kathir.</w:t>
      </w:r>
    </w:p>
    <w:p w:rsidR="00304503" w:rsidRPr="00A42B4C" w:rsidRDefault="00304503" w:rsidP="005D6B11">
      <w:pPr>
        <w:spacing w:after="0"/>
        <w:ind w:left="284"/>
        <w:rPr>
          <w:b/>
          <w:bCs/>
          <w:sz w:val="20"/>
          <w:szCs w:val="20"/>
          <w:rtl/>
        </w:rPr>
      </w:pPr>
      <w:r w:rsidRPr="00A42B4C">
        <w:rPr>
          <w:b/>
          <w:bCs/>
          <w:sz w:val="20"/>
          <w:szCs w:val="20"/>
        </w:rPr>
        <w:t>Qs, al-Nahl/18: 97</w:t>
      </w:r>
    </w:p>
    <w:p w:rsidR="00304503" w:rsidRPr="00A42B4C" w:rsidRDefault="00304503" w:rsidP="005D6B11">
      <w:pPr>
        <w:spacing w:before="0" w:after="0"/>
        <w:ind w:left="284"/>
        <w:rPr>
          <w:i/>
          <w:iCs/>
          <w:sz w:val="20"/>
          <w:szCs w:val="20"/>
        </w:rPr>
      </w:pPr>
      <w:r w:rsidRPr="00A42B4C">
        <w:rPr>
          <w:i/>
          <w:iCs/>
          <w:sz w:val="20"/>
          <w:szCs w:val="20"/>
        </w:rPr>
        <w:t>Barangsiapa yang mengerjakan amal yang shalih daripada laki-laki atau perempuan padahal ia percaya akan Allah ta’ala, maka lagi akan kami hidupkan akan dia dengan hidup yang baik, yaitu hidup di dalam syurga dan lagi kami balas akan mereka itu dengan yang terbaik daripada segala amal mereka itu.</w:t>
      </w:r>
      <w:r>
        <w:rPr>
          <w:i/>
          <w:iCs/>
          <w:sz w:val="20"/>
          <w:szCs w:val="20"/>
        </w:rPr>
        <w:t>[</w:t>
      </w:r>
      <w:r w:rsidRPr="00A42B4C">
        <w:rPr>
          <w:rStyle w:val="EndnoteReference"/>
          <w:i/>
          <w:iCs/>
          <w:sz w:val="20"/>
          <w:szCs w:val="20"/>
        </w:rPr>
        <w:endnoteReference w:id="62"/>
      </w:r>
      <w:r>
        <w:rPr>
          <w:i/>
          <w:iCs/>
          <w:sz w:val="20"/>
          <w:szCs w:val="20"/>
        </w:rPr>
        <w:t>]</w:t>
      </w:r>
    </w:p>
    <w:p w:rsidR="00304503" w:rsidRPr="00A42B4C" w:rsidRDefault="00304503" w:rsidP="005D6B11">
      <w:pPr>
        <w:spacing w:before="0" w:after="0"/>
        <w:ind w:left="0" w:firstLine="284"/>
        <w:rPr>
          <w:i/>
          <w:iCs/>
          <w:sz w:val="20"/>
          <w:szCs w:val="20"/>
        </w:rPr>
      </w:pPr>
      <w:r w:rsidRPr="00A42B4C">
        <w:rPr>
          <w:sz w:val="20"/>
          <w:szCs w:val="20"/>
        </w:rPr>
        <w:t xml:space="preserve">According to al-Baidhawi, a good deeds and religous whether male or female, will be given a good life in the world. There is another opinion which states that life will be in the Hereafter. However, this opinion poorly supported by al-Baidhawi so he just put it out as additional information with </w:t>
      </w:r>
      <w:r w:rsidRPr="00A42B4C">
        <w:rPr>
          <w:i/>
          <w:iCs/>
          <w:sz w:val="20"/>
          <w:szCs w:val="20"/>
        </w:rPr>
        <w:t>shighat qiila.</w:t>
      </w:r>
      <w:r>
        <w:rPr>
          <w:i/>
          <w:iCs/>
          <w:sz w:val="20"/>
          <w:szCs w:val="20"/>
        </w:rPr>
        <w:t>[</w:t>
      </w:r>
      <w:r w:rsidRPr="00A42B4C">
        <w:rPr>
          <w:rStyle w:val="EndnoteReference"/>
          <w:i/>
          <w:iCs/>
          <w:sz w:val="20"/>
          <w:szCs w:val="20"/>
        </w:rPr>
        <w:endnoteReference w:id="63"/>
      </w:r>
      <w:r>
        <w:rPr>
          <w:i/>
          <w:iCs/>
          <w:sz w:val="20"/>
          <w:szCs w:val="20"/>
        </w:rPr>
        <w:t>]</w:t>
      </w:r>
    </w:p>
    <w:p w:rsidR="005D6B11" w:rsidRPr="00A42B4C" w:rsidRDefault="00304503" w:rsidP="005D6B11">
      <w:pPr>
        <w:spacing w:before="0" w:after="0"/>
        <w:ind w:left="0" w:firstLine="284"/>
        <w:rPr>
          <w:sz w:val="20"/>
          <w:szCs w:val="20"/>
        </w:rPr>
      </w:pPr>
      <w:r w:rsidRPr="00A42B4C">
        <w:rPr>
          <w:sz w:val="20"/>
          <w:szCs w:val="20"/>
        </w:rPr>
        <w:t>Meanwhile, according to al-Suyuti, the interpretation of this verse is as follows:</w:t>
      </w:r>
      <w:r w:rsidRPr="00A42B4C">
        <w:rPr>
          <w:rStyle w:val="EndnoteReference"/>
          <w:sz w:val="20"/>
          <w:szCs w:val="20"/>
        </w:rPr>
        <w:t xml:space="preserve"> </w:t>
      </w:r>
      <w:r>
        <w:rPr>
          <w:sz w:val="20"/>
          <w:szCs w:val="20"/>
        </w:rPr>
        <w:t>[</w:t>
      </w:r>
      <w:r w:rsidRPr="00A42B4C">
        <w:rPr>
          <w:rStyle w:val="EndnoteReference"/>
          <w:sz w:val="20"/>
          <w:szCs w:val="20"/>
        </w:rPr>
        <w:endnoteReference w:id="64"/>
      </w:r>
      <w:r>
        <w:rPr>
          <w:sz w:val="20"/>
          <w:szCs w:val="20"/>
        </w:rPr>
        <w:t>]</w:t>
      </w:r>
    </w:p>
    <w:p w:rsidR="005D6B11" w:rsidRPr="00A42B4C" w:rsidRDefault="005D6B11" w:rsidP="005D6B11">
      <w:pPr>
        <w:spacing w:after="0"/>
        <w:ind w:firstLine="720"/>
        <w:rPr>
          <w:sz w:val="20"/>
          <w:szCs w:val="20"/>
        </w:rPr>
      </w:pPr>
    </w:p>
    <w:p w:rsidR="005D6B11" w:rsidRPr="00A42B4C" w:rsidRDefault="005D6B11" w:rsidP="005D6B11">
      <w:pPr>
        <w:autoSpaceDE w:val="0"/>
        <w:autoSpaceDN w:val="0"/>
        <w:bidi/>
        <w:adjustRightInd w:val="0"/>
        <w:spacing w:after="0"/>
        <w:ind w:left="95"/>
        <w:rPr>
          <w:rFonts w:ascii="Arabic Typesetting" w:hAnsi="Arabic Typesetting" w:cs="Arabic Typesetting"/>
          <w:color w:val="FF0000"/>
          <w:sz w:val="20"/>
          <w:szCs w:val="20"/>
        </w:rPr>
      </w:pPr>
      <w:r w:rsidRPr="00A42B4C">
        <w:rPr>
          <w:rFonts w:ascii="Arabic Typesetting" w:hAnsi="Arabic Typesetting" w:cs="Arabic Typesetting"/>
          <w:color w:val="000000"/>
          <w:sz w:val="20"/>
          <w:szCs w:val="20"/>
          <w:rtl/>
        </w:rPr>
        <w:t>{مَنْ عَمِلَ صَالِحًا مِنْ ذَكَر أَوْ أُنْثَى وَهُوَ مُؤْمِن فَلَنُحْيِيَنَّهُ حَيَاة طَيِّبَة} قِيلَ هِيَ حَيَاة الْجَنَّة وَقِيلَ فِي الدُّنْيَا بِالْقَنَاعَةِ أَوْ الرزق الحلال {ولنجزينهم أجرهم بأحسن ما كانوا يعملون}</w:t>
      </w:r>
    </w:p>
    <w:p w:rsidR="005D6B11" w:rsidRPr="00A42B4C" w:rsidRDefault="005D6B11" w:rsidP="005D6B11">
      <w:pPr>
        <w:ind w:left="0" w:firstLine="284"/>
        <w:rPr>
          <w:sz w:val="20"/>
          <w:szCs w:val="20"/>
        </w:rPr>
      </w:pPr>
      <w:r w:rsidRPr="00A42B4C">
        <w:rPr>
          <w:sz w:val="20"/>
          <w:szCs w:val="20"/>
        </w:rPr>
        <w:t xml:space="preserve">In this verse and the previous verse, 'Abd Ra'uf revealed that every man who is faithful, both men and women and do good deeds, then they will get a reply in the form of a good life in the hereafter. In this section there is any modifications made by 'Abd al-Ra'uf, do not translate other opinions about the good life which is life in the world with enough flavor or with </w:t>
      </w:r>
      <w:r w:rsidRPr="00A42B4C">
        <w:rPr>
          <w:i/>
          <w:iCs/>
          <w:sz w:val="20"/>
          <w:szCs w:val="20"/>
        </w:rPr>
        <w:t>halal rizki</w:t>
      </w:r>
      <w:r w:rsidRPr="00A42B4C">
        <w:rPr>
          <w:sz w:val="20"/>
          <w:szCs w:val="20"/>
        </w:rPr>
        <w:t>. If concluded, the 'Abd al-Ra'uf looked at the status of women as follows: Eve was created from Adam, Women have a duty to obey her husband or that are in the domestic space, while a man or husband has several advantages, namely science, reason, and region , A woman who nusyudz be faced with three ways, namely, (1) advised, (2) is separated from his bed, and (3) was hit with punches that do not injure. 'Abd al-Ra'uf also considers that a man and woman have the same potential to earn a good livelihood in the Hereafter.</w:t>
      </w:r>
    </w:p>
    <w:p w:rsidR="005D6B11" w:rsidRPr="00A42B4C" w:rsidRDefault="005D6B11" w:rsidP="005D6B11">
      <w:pPr>
        <w:spacing w:after="0"/>
        <w:ind w:left="0"/>
        <w:rPr>
          <w:b/>
          <w:bCs/>
          <w:i/>
          <w:iCs/>
          <w:sz w:val="20"/>
          <w:szCs w:val="20"/>
        </w:rPr>
      </w:pPr>
      <w:r w:rsidRPr="00A42B4C">
        <w:rPr>
          <w:b/>
          <w:bCs/>
          <w:sz w:val="20"/>
          <w:szCs w:val="20"/>
        </w:rPr>
        <w:t xml:space="preserve">11. ORIGINALITY OF TAFSIR </w:t>
      </w:r>
      <w:r w:rsidRPr="00A42B4C">
        <w:rPr>
          <w:b/>
          <w:bCs/>
          <w:i/>
          <w:iCs/>
          <w:sz w:val="20"/>
          <w:szCs w:val="20"/>
        </w:rPr>
        <w:t>TURJUMAN AL-MUSTAFID</w:t>
      </w:r>
    </w:p>
    <w:p w:rsidR="005D6B11" w:rsidRPr="00A42B4C" w:rsidRDefault="005D6B11" w:rsidP="005D6B11">
      <w:pPr>
        <w:spacing w:before="0" w:after="0"/>
        <w:ind w:left="0" w:firstLine="284"/>
        <w:rPr>
          <w:sz w:val="20"/>
          <w:szCs w:val="20"/>
        </w:rPr>
      </w:pPr>
      <w:r w:rsidRPr="00A42B4C">
        <w:rPr>
          <w:sz w:val="20"/>
          <w:szCs w:val="20"/>
        </w:rPr>
        <w:t xml:space="preserve">From the examples above, it appears that 'Abd al-Ra'uf aplenty  refer to Tafsir Jalalain, after selecting the parts that do not conform to the local community, such as the discussion of grammar or </w:t>
      </w:r>
      <w:r w:rsidRPr="00A42B4C">
        <w:rPr>
          <w:i/>
          <w:iCs/>
          <w:sz w:val="20"/>
          <w:szCs w:val="20"/>
        </w:rPr>
        <w:t>nahwu.</w:t>
      </w:r>
      <w:r w:rsidRPr="00A42B4C">
        <w:rPr>
          <w:sz w:val="20"/>
          <w:szCs w:val="20"/>
        </w:rPr>
        <w:t xml:space="preserve"> This work can not considered as translation </w:t>
      </w:r>
      <w:r w:rsidRPr="00A42B4C">
        <w:rPr>
          <w:i/>
          <w:iCs/>
          <w:sz w:val="20"/>
          <w:szCs w:val="20"/>
        </w:rPr>
        <w:t>(tarjamah lafdziyyah</w:t>
      </w:r>
      <w:r w:rsidRPr="00A42B4C">
        <w:rPr>
          <w:sz w:val="20"/>
          <w:szCs w:val="20"/>
        </w:rPr>
        <w:t xml:space="preserve">) in general, because there remains the creative interpretation of 'Abd al-Ra'uf Singkel. On the contrary, this work also can not be considered as an original work by the thought of 'Abd al-Ra'uf, because most of it is the assessment contained in the Tafsir Jalalain. Thus, this work is an adaptation </w:t>
      </w:r>
      <w:r w:rsidRPr="00A42B4C">
        <w:rPr>
          <w:i/>
          <w:iCs/>
          <w:sz w:val="20"/>
          <w:szCs w:val="20"/>
        </w:rPr>
        <w:t>tarjemah</w:t>
      </w:r>
      <w:r w:rsidRPr="00A42B4C">
        <w:rPr>
          <w:sz w:val="20"/>
          <w:szCs w:val="20"/>
        </w:rPr>
        <w:t xml:space="preserve"> </w:t>
      </w:r>
      <w:r w:rsidRPr="00A42B4C">
        <w:rPr>
          <w:i/>
          <w:iCs/>
          <w:sz w:val="20"/>
          <w:szCs w:val="20"/>
        </w:rPr>
        <w:t>tafsiriyyah</w:t>
      </w:r>
      <w:r w:rsidRPr="00A42B4C">
        <w:rPr>
          <w:sz w:val="20"/>
          <w:szCs w:val="20"/>
        </w:rPr>
        <w:t xml:space="preserve"> Jalalain. This means that 'Abd al-Ra'uf not fully translate,but selecting a few parts that deserves to be presented to the people of Aceh at the time. As for aplenty of additional aplenty mentioned in this book is a great addition Daud al-Rumi as a student and also the '‘</w:t>
      </w:r>
      <w:r w:rsidRPr="00A42B4C">
        <w:rPr>
          <w:i/>
          <w:iCs/>
          <w:sz w:val="20"/>
          <w:szCs w:val="20"/>
        </w:rPr>
        <w:t>katib</w:t>
      </w:r>
      <w:r w:rsidRPr="00A42B4C">
        <w:rPr>
          <w:sz w:val="20"/>
          <w:szCs w:val="20"/>
        </w:rPr>
        <w:t>’/ scribes of Tafsir Turjuman. According to the authors, the differences in Tafsir  'Abd al-Ra'uf and Daud al-Rumi lies on the mention of the source text. If sources or references mentioned, then it is an addition from David al-Rumi.</w:t>
      </w:r>
    </w:p>
    <w:p w:rsidR="005D6B11" w:rsidRPr="00A42B4C" w:rsidRDefault="005D6B11" w:rsidP="005D6B11">
      <w:pPr>
        <w:spacing w:before="0" w:after="0"/>
        <w:ind w:left="0"/>
        <w:rPr>
          <w:sz w:val="20"/>
          <w:szCs w:val="20"/>
        </w:rPr>
      </w:pPr>
    </w:p>
    <w:p w:rsidR="005D6B11" w:rsidRPr="00A42B4C" w:rsidRDefault="005D6B11" w:rsidP="005D6B11">
      <w:pPr>
        <w:spacing w:before="0" w:after="0"/>
        <w:ind w:left="0"/>
        <w:rPr>
          <w:b/>
          <w:sz w:val="20"/>
          <w:szCs w:val="20"/>
        </w:rPr>
      </w:pPr>
      <w:r w:rsidRPr="00A42B4C">
        <w:rPr>
          <w:b/>
          <w:sz w:val="20"/>
          <w:szCs w:val="20"/>
        </w:rPr>
        <w:t>12. CONCLUSION</w:t>
      </w:r>
    </w:p>
    <w:p w:rsidR="005D6B11" w:rsidRPr="00A42B4C" w:rsidRDefault="005D6B11" w:rsidP="005D6B11">
      <w:pPr>
        <w:spacing w:before="0"/>
        <w:ind w:left="0" w:firstLine="284"/>
        <w:rPr>
          <w:sz w:val="20"/>
          <w:szCs w:val="20"/>
        </w:rPr>
      </w:pPr>
      <w:r w:rsidRPr="00A42B4C">
        <w:rPr>
          <w:sz w:val="20"/>
          <w:szCs w:val="20"/>
        </w:rPr>
        <w:t xml:space="preserve">Tafsir Turjuman al-Mustafid is handwritten work by David al-Rumi by the Tafisr Abd al-Ra'uf al-Sinkili towards Tafsir Jalalain which has been adapted to the social conditions in which they both lived. Daud al-Rumi explains that, he was at the behest of his teacher, has made several additions, in the form of the difference qiraat and stories associated with the referral intertextual which many taken from al-Khazin. There are no discussions related to the social conditions in this book, especially in matters of women's leadership. Because as long as the book was arranged, 'Abd al-Ra'uf under the leadership of </w:t>
      </w:r>
      <w:r w:rsidRPr="00A42B4C">
        <w:rPr>
          <w:i/>
          <w:iCs/>
          <w:sz w:val="20"/>
          <w:szCs w:val="20"/>
        </w:rPr>
        <w:t>sultanah</w:t>
      </w:r>
      <w:r w:rsidRPr="00A42B4C">
        <w:rPr>
          <w:sz w:val="20"/>
          <w:szCs w:val="20"/>
        </w:rPr>
        <w:t>. Assuming that the pre-understanding initiated by Gadamer, it can be said that this book is not an original work of 'Abd al-Ra'uf but as tarjamah tafsiriyyah of Tafsir Jalalain by adding a few parts and discard the other parts which are not required by the people of Aceh at the time.</w:t>
      </w:r>
    </w:p>
    <w:p w:rsidR="00304503" w:rsidRDefault="00304503">
      <w:pPr>
        <w:spacing w:before="0" w:after="200" w:line="276" w:lineRule="auto"/>
        <w:ind w:left="0"/>
        <w:jc w:val="left"/>
        <w:rPr>
          <w:b/>
          <w:sz w:val="20"/>
          <w:szCs w:val="20"/>
        </w:rPr>
      </w:pPr>
      <w:r>
        <w:rPr>
          <w:b/>
          <w:sz w:val="20"/>
          <w:szCs w:val="20"/>
        </w:rPr>
        <w:br w:type="page"/>
      </w:r>
    </w:p>
    <w:p w:rsidR="005D6B11" w:rsidRPr="00A42B4C" w:rsidRDefault="005D6B11" w:rsidP="005D6B11">
      <w:pPr>
        <w:spacing w:before="0" w:after="0"/>
        <w:ind w:left="0"/>
        <w:rPr>
          <w:b/>
          <w:sz w:val="20"/>
          <w:szCs w:val="20"/>
        </w:rPr>
      </w:pPr>
      <w:r w:rsidRPr="00A42B4C">
        <w:rPr>
          <w:b/>
          <w:sz w:val="20"/>
          <w:szCs w:val="20"/>
        </w:rPr>
        <w:lastRenderedPageBreak/>
        <w:t>REFERENCES</w:t>
      </w:r>
    </w:p>
    <w:p w:rsidR="005D6B11" w:rsidRPr="00A42B4C" w:rsidRDefault="005D6B11" w:rsidP="005D6B11">
      <w:pPr>
        <w:spacing w:before="0" w:after="0"/>
        <w:ind w:left="426" w:hanging="426"/>
        <w:rPr>
          <w:sz w:val="20"/>
          <w:szCs w:val="20"/>
        </w:rPr>
      </w:pPr>
      <w:r w:rsidRPr="00A42B4C">
        <w:rPr>
          <w:sz w:val="20"/>
          <w:szCs w:val="20"/>
        </w:rPr>
        <w:t xml:space="preserve">[1] ‘Abd al-Ghafur, ‘Abd al-Qayyum. </w:t>
      </w:r>
      <w:r w:rsidRPr="00A42B4C">
        <w:rPr>
          <w:i/>
          <w:iCs/>
          <w:sz w:val="20"/>
          <w:szCs w:val="20"/>
        </w:rPr>
        <w:t xml:space="preserve">Al-Shafahat fi ‘Ulum al-Qiraat. </w:t>
      </w:r>
      <w:r w:rsidRPr="00A42B4C">
        <w:rPr>
          <w:sz w:val="20"/>
          <w:szCs w:val="20"/>
        </w:rPr>
        <w:t>Makkah: Dar Basya’ir al-Islamiyyah. 2001.</w:t>
      </w:r>
    </w:p>
    <w:p w:rsidR="005D6B11" w:rsidRPr="00A42B4C" w:rsidRDefault="005D6B11" w:rsidP="005D6B11">
      <w:pPr>
        <w:spacing w:before="0" w:after="0"/>
        <w:ind w:left="426" w:hanging="426"/>
        <w:rPr>
          <w:sz w:val="20"/>
          <w:szCs w:val="20"/>
        </w:rPr>
      </w:pPr>
      <w:r w:rsidRPr="00A42B4C">
        <w:rPr>
          <w:sz w:val="20"/>
          <w:szCs w:val="20"/>
        </w:rPr>
        <w:t xml:space="preserve">[2] </w:t>
      </w:r>
      <w:r w:rsidRPr="00A42B4C">
        <w:rPr>
          <w:sz w:val="20"/>
          <w:szCs w:val="20"/>
        </w:rPr>
        <w:tab/>
        <w:t xml:space="preserve">Abdullah, Taufiq. (Ed.). </w:t>
      </w:r>
      <w:r w:rsidRPr="00A42B4C">
        <w:rPr>
          <w:i/>
          <w:iCs/>
          <w:sz w:val="20"/>
          <w:szCs w:val="20"/>
        </w:rPr>
        <w:t>Indonesia dalam Arus Sejarah: Kedatangan dan Peradaban Islam</w:t>
      </w:r>
      <w:r w:rsidRPr="00A42B4C">
        <w:rPr>
          <w:sz w:val="20"/>
          <w:szCs w:val="20"/>
        </w:rPr>
        <w:t>. Jakarta: Ikhtiar Baru Van Hoeve. T.t.</w:t>
      </w:r>
    </w:p>
    <w:p w:rsidR="005D6B11" w:rsidRPr="00A42B4C" w:rsidRDefault="005D6B11" w:rsidP="005D6B11">
      <w:pPr>
        <w:spacing w:before="0" w:after="0"/>
        <w:ind w:left="426" w:hanging="426"/>
        <w:rPr>
          <w:sz w:val="20"/>
          <w:szCs w:val="20"/>
        </w:rPr>
      </w:pPr>
      <w:r w:rsidRPr="00A42B4C">
        <w:rPr>
          <w:sz w:val="20"/>
          <w:szCs w:val="20"/>
        </w:rPr>
        <w:t xml:space="preserve">[3] Anonim. </w:t>
      </w:r>
      <w:r w:rsidRPr="00A42B4C">
        <w:rPr>
          <w:i/>
          <w:iCs/>
          <w:sz w:val="20"/>
          <w:szCs w:val="20"/>
        </w:rPr>
        <w:t>Tafsir al-Quran 30 Juz Diterjemahkan Secara Lafdziyyah Tulisan Melayu.</w:t>
      </w:r>
      <w:r w:rsidRPr="00A42B4C">
        <w:rPr>
          <w:sz w:val="20"/>
          <w:szCs w:val="20"/>
        </w:rPr>
        <w:t xml:space="preserve"> Bandung: Firmanusantara. T.t.</w:t>
      </w:r>
    </w:p>
    <w:p w:rsidR="005D6B11" w:rsidRPr="00A42B4C" w:rsidRDefault="005D6B11" w:rsidP="005D6B11">
      <w:pPr>
        <w:spacing w:before="0" w:after="0"/>
        <w:ind w:left="426" w:hanging="426"/>
        <w:rPr>
          <w:sz w:val="20"/>
          <w:szCs w:val="20"/>
        </w:rPr>
      </w:pPr>
      <w:r w:rsidRPr="00A42B4C">
        <w:rPr>
          <w:sz w:val="20"/>
          <w:szCs w:val="20"/>
        </w:rPr>
        <w:t xml:space="preserve">[4]  </w:t>
      </w:r>
      <w:r w:rsidRPr="00A42B4C">
        <w:rPr>
          <w:sz w:val="20"/>
          <w:szCs w:val="20"/>
        </w:rPr>
        <w:tab/>
        <w:t xml:space="preserve">Azra, Azyumardi. (Ed.). </w:t>
      </w:r>
      <w:r w:rsidRPr="00A42B4C">
        <w:rPr>
          <w:i/>
          <w:iCs/>
          <w:sz w:val="20"/>
          <w:szCs w:val="20"/>
        </w:rPr>
        <w:t>Perspektif Islam di Asia Tenggara</w:t>
      </w:r>
      <w:r w:rsidRPr="00A42B4C">
        <w:rPr>
          <w:sz w:val="20"/>
          <w:szCs w:val="20"/>
        </w:rPr>
        <w:t>. Jakarta: Yayasan Obor. 1989.</w:t>
      </w:r>
    </w:p>
    <w:p w:rsidR="005D6B11" w:rsidRPr="00A42B4C" w:rsidRDefault="005D6B11" w:rsidP="005D6B11">
      <w:pPr>
        <w:spacing w:before="0" w:after="0"/>
        <w:ind w:left="426" w:hanging="426"/>
        <w:rPr>
          <w:sz w:val="20"/>
          <w:szCs w:val="20"/>
        </w:rPr>
      </w:pPr>
      <w:r w:rsidRPr="00A42B4C">
        <w:rPr>
          <w:sz w:val="20"/>
          <w:szCs w:val="20"/>
        </w:rPr>
        <w:t xml:space="preserve">[5]  </w:t>
      </w:r>
      <w:r w:rsidRPr="00A42B4C">
        <w:rPr>
          <w:sz w:val="20"/>
          <w:szCs w:val="20"/>
        </w:rPr>
        <w:tab/>
        <w:t xml:space="preserve">-------, </w:t>
      </w:r>
      <w:r w:rsidRPr="00A42B4C">
        <w:rPr>
          <w:i/>
          <w:iCs/>
          <w:sz w:val="20"/>
          <w:szCs w:val="20"/>
        </w:rPr>
        <w:t>Jaringan Ulama Timur Tengah dan Kepulauan Nusantara Abad XVII dan XVIII: Melacak Akar-akar Pembaharuan Pemikiran Islam di Indonesia</w:t>
      </w:r>
      <w:r w:rsidRPr="00A42B4C">
        <w:rPr>
          <w:sz w:val="20"/>
          <w:szCs w:val="20"/>
        </w:rPr>
        <w:t>. Bandung: Mizan. 1994.</w:t>
      </w:r>
    </w:p>
    <w:p w:rsidR="005D6B11" w:rsidRPr="00A42B4C" w:rsidRDefault="005D6B11" w:rsidP="005D6B11">
      <w:pPr>
        <w:spacing w:before="0" w:after="0"/>
        <w:ind w:left="426" w:hanging="426"/>
        <w:rPr>
          <w:sz w:val="20"/>
          <w:szCs w:val="20"/>
        </w:rPr>
      </w:pPr>
      <w:r w:rsidRPr="00A42B4C">
        <w:rPr>
          <w:sz w:val="20"/>
          <w:szCs w:val="20"/>
        </w:rPr>
        <w:t xml:space="preserve">[6] </w:t>
      </w:r>
      <w:r w:rsidRPr="00A42B4C">
        <w:rPr>
          <w:sz w:val="20"/>
          <w:szCs w:val="20"/>
        </w:rPr>
        <w:tab/>
        <w:t xml:space="preserve">-------, </w:t>
      </w:r>
      <w:r w:rsidRPr="00A42B4C">
        <w:rPr>
          <w:i/>
          <w:iCs/>
          <w:sz w:val="20"/>
          <w:szCs w:val="20"/>
        </w:rPr>
        <w:t xml:space="preserve">Historiografi Islam Kontemporer: Wacana, Aktualistas, dan Aktor Sejarah. </w:t>
      </w:r>
      <w:r w:rsidRPr="00A42B4C">
        <w:rPr>
          <w:sz w:val="20"/>
          <w:szCs w:val="20"/>
        </w:rPr>
        <w:t xml:space="preserve">Jakarta: Gramedia. 2002. </w:t>
      </w:r>
    </w:p>
    <w:p w:rsidR="005D6B11" w:rsidRPr="00A42B4C" w:rsidRDefault="005D6B11" w:rsidP="005D6B11">
      <w:pPr>
        <w:spacing w:before="0" w:after="0"/>
        <w:ind w:left="426" w:hanging="426"/>
        <w:rPr>
          <w:sz w:val="20"/>
          <w:szCs w:val="20"/>
        </w:rPr>
      </w:pPr>
      <w:r w:rsidRPr="00A42B4C">
        <w:rPr>
          <w:sz w:val="20"/>
          <w:szCs w:val="20"/>
        </w:rPr>
        <w:t xml:space="preserve">[7]  </w:t>
      </w:r>
      <w:r w:rsidRPr="00A42B4C">
        <w:rPr>
          <w:sz w:val="20"/>
          <w:szCs w:val="20"/>
        </w:rPr>
        <w:tab/>
        <w:t xml:space="preserve">Baha, Ahmad dan Muhammad Lukman. ‘Ikhtilaf Qiraar Kitab Turjuman al-Mustafid oleh Syeikh ‘Abd al-Ra’uf al-Fansyuri: Satu Sorotan’ dalam </w:t>
      </w:r>
      <w:r w:rsidRPr="00A42B4C">
        <w:rPr>
          <w:i/>
          <w:iCs/>
          <w:sz w:val="20"/>
          <w:szCs w:val="20"/>
        </w:rPr>
        <w:t xml:space="preserve">International Journal on Quranic Research. </w:t>
      </w:r>
      <w:r w:rsidRPr="00A42B4C">
        <w:rPr>
          <w:sz w:val="20"/>
          <w:szCs w:val="20"/>
        </w:rPr>
        <w:t>Vol. 2 no. 2. 2012.</w:t>
      </w:r>
    </w:p>
    <w:p w:rsidR="005D6B11" w:rsidRPr="00A42B4C" w:rsidRDefault="005D6B11" w:rsidP="005D6B11">
      <w:pPr>
        <w:spacing w:before="0" w:after="0"/>
        <w:ind w:left="426" w:hanging="426"/>
        <w:rPr>
          <w:sz w:val="20"/>
          <w:szCs w:val="20"/>
        </w:rPr>
      </w:pPr>
      <w:r w:rsidRPr="00A42B4C">
        <w:rPr>
          <w:sz w:val="20"/>
          <w:szCs w:val="20"/>
        </w:rPr>
        <w:t>[8]</w:t>
      </w:r>
      <w:r w:rsidRPr="00A42B4C">
        <w:rPr>
          <w:i/>
          <w:iCs/>
          <w:sz w:val="20"/>
          <w:szCs w:val="20"/>
        </w:rPr>
        <w:t xml:space="preserve"> </w:t>
      </w:r>
      <w:r w:rsidRPr="00A42B4C">
        <w:rPr>
          <w:sz w:val="20"/>
          <w:szCs w:val="20"/>
        </w:rPr>
        <w:t xml:space="preserve"> Al-Baghawi, Abu Muhammad al-Husain. </w:t>
      </w:r>
      <w:r w:rsidRPr="00A42B4C">
        <w:rPr>
          <w:i/>
          <w:iCs/>
          <w:sz w:val="20"/>
          <w:szCs w:val="20"/>
        </w:rPr>
        <w:t xml:space="preserve">Ma’alim al-Tanzil fi Tafsir al-Baghawi. </w:t>
      </w:r>
      <w:r w:rsidRPr="00A42B4C">
        <w:rPr>
          <w:sz w:val="20"/>
          <w:szCs w:val="20"/>
        </w:rPr>
        <w:t>Beirut. Dar Ihya al-Turats. 1420 H.</w:t>
      </w:r>
    </w:p>
    <w:p w:rsidR="005D6B11" w:rsidRPr="00A42B4C" w:rsidRDefault="005D6B11" w:rsidP="005D6B11">
      <w:pPr>
        <w:spacing w:before="0" w:after="0"/>
        <w:ind w:left="426" w:hanging="426"/>
        <w:rPr>
          <w:sz w:val="20"/>
          <w:szCs w:val="20"/>
        </w:rPr>
      </w:pPr>
      <w:r w:rsidRPr="00A42B4C">
        <w:rPr>
          <w:sz w:val="20"/>
          <w:szCs w:val="20"/>
        </w:rPr>
        <w:t xml:space="preserve">[9]  </w:t>
      </w:r>
      <w:r w:rsidRPr="00A42B4C">
        <w:rPr>
          <w:sz w:val="20"/>
          <w:szCs w:val="20"/>
        </w:rPr>
        <w:tab/>
        <w:t>Al-Baghdadi, Ahmad ibn Musa.</w:t>
      </w:r>
      <w:r w:rsidRPr="00A42B4C">
        <w:rPr>
          <w:i/>
          <w:iCs/>
          <w:sz w:val="20"/>
          <w:szCs w:val="20"/>
        </w:rPr>
        <w:t xml:space="preserve"> Kitab al-Sab’ah fi al-Qiraat.</w:t>
      </w:r>
      <w:r w:rsidRPr="00A42B4C">
        <w:rPr>
          <w:sz w:val="20"/>
          <w:szCs w:val="20"/>
        </w:rPr>
        <w:t xml:space="preserve"> Mesir: Dar al-Ma’arif. 1400 H.</w:t>
      </w:r>
    </w:p>
    <w:p w:rsidR="005D6B11" w:rsidRPr="00A42B4C" w:rsidRDefault="005D6B11" w:rsidP="005D6B11">
      <w:pPr>
        <w:spacing w:before="0" w:after="0"/>
        <w:ind w:left="567" w:hanging="567"/>
        <w:rPr>
          <w:sz w:val="20"/>
          <w:szCs w:val="20"/>
        </w:rPr>
      </w:pPr>
      <w:r w:rsidRPr="00A42B4C">
        <w:rPr>
          <w:sz w:val="20"/>
          <w:szCs w:val="20"/>
        </w:rPr>
        <w:t xml:space="preserve">[10]  Al-Baidhawi, Nashiruddin. </w:t>
      </w:r>
      <w:r w:rsidRPr="00A42B4C">
        <w:rPr>
          <w:i/>
          <w:iCs/>
          <w:sz w:val="20"/>
          <w:szCs w:val="20"/>
        </w:rPr>
        <w:t xml:space="preserve">Anwar al-Tanzil wa Asrar al-Ta’wil. </w:t>
      </w:r>
      <w:r w:rsidRPr="00A42B4C">
        <w:rPr>
          <w:sz w:val="20"/>
          <w:szCs w:val="20"/>
        </w:rPr>
        <w:t>Beirut: Dar Ihya al- Turats. 1418 H.</w:t>
      </w:r>
    </w:p>
    <w:p w:rsidR="005D6B11" w:rsidRPr="00A42B4C" w:rsidRDefault="005D6B11" w:rsidP="005D6B11">
      <w:pPr>
        <w:spacing w:before="0" w:after="0"/>
        <w:ind w:left="567" w:hanging="567"/>
        <w:rPr>
          <w:sz w:val="20"/>
          <w:szCs w:val="20"/>
        </w:rPr>
      </w:pPr>
      <w:r w:rsidRPr="00A42B4C">
        <w:rPr>
          <w:sz w:val="20"/>
          <w:szCs w:val="20"/>
        </w:rPr>
        <w:t xml:space="preserve">[11]  Baidhawi, Ahmad. ‘Anwar al-Tanzil wa Asrar al-Ta’wil Karya al-Baidhawi’ dalam A.   Rofiq. (Ed.). </w:t>
      </w:r>
      <w:r w:rsidRPr="00A42B4C">
        <w:rPr>
          <w:i/>
          <w:iCs/>
          <w:sz w:val="20"/>
          <w:szCs w:val="20"/>
        </w:rPr>
        <w:t xml:space="preserve">Studi Kitab Tafsir. </w:t>
      </w:r>
      <w:r w:rsidRPr="00A42B4C">
        <w:rPr>
          <w:sz w:val="20"/>
          <w:szCs w:val="20"/>
        </w:rPr>
        <w:t>Yogyakarta: TH-Press. 2004.</w:t>
      </w:r>
    </w:p>
    <w:p w:rsidR="005D6B11" w:rsidRPr="00A42B4C" w:rsidRDefault="005D6B11" w:rsidP="005D6B11">
      <w:pPr>
        <w:spacing w:before="0" w:after="0"/>
        <w:ind w:left="567" w:hanging="567"/>
        <w:rPr>
          <w:sz w:val="20"/>
          <w:szCs w:val="20"/>
        </w:rPr>
      </w:pPr>
      <w:r w:rsidRPr="00A42B4C">
        <w:rPr>
          <w:sz w:val="20"/>
          <w:szCs w:val="20"/>
        </w:rPr>
        <w:t xml:space="preserve">[12]  </w:t>
      </w:r>
      <w:r w:rsidRPr="00A42B4C">
        <w:rPr>
          <w:sz w:val="20"/>
          <w:szCs w:val="20"/>
        </w:rPr>
        <w:tab/>
        <w:t xml:space="preserve">Braginsky, V.I. </w:t>
      </w:r>
      <w:r w:rsidRPr="00A42B4C">
        <w:rPr>
          <w:i/>
          <w:iCs/>
          <w:sz w:val="20"/>
          <w:szCs w:val="20"/>
        </w:rPr>
        <w:t>Yang Indah, Berfaedah, dan Kamal: Sejarah Sastra Melayu dalam Abad 7 – 19.</w:t>
      </w:r>
      <w:r w:rsidRPr="00A42B4C">
        <w:rPr>
          <w:sz w:val="20"/>
          <w:szCs w:val="20"/>
        </w:rPr>
        <w:t xml:space="preserve"> Terjemah Hersri Setiawan. Jakarta: INIS. 1998.</w:t>
      </w:r>
    </w:p>
    <w:p w:rsidR="005D6B11" w:rsidRPr="00A42B4C" w:rsidRDefault="005D6B11" w:rsidP="005D6B11">
      <w:pPr>
        <w:spacing w:before="0" w:after="0"/>
        <w:ind w:left="567" w:hanging="567"/>
        <w:rPr>
          <w:sz w:val="20"/>
          <w:szCs w:val="20"/>
        </w:rPr>
      </w:pPr>
      <w:r w:rsidRPr="00A42B4C">
        <w:rPr>
          <w:sz w:val="20"/>
          <w:szCs w:val="20"/>
        </w:rPr>
        <w:t>[13]</w:t>
      </w:r>
      <w:r w:rsidRPr="00A42B4C">
        <w:rPr>
          <w:sz w:val="20"/>
          <w:szCs w:val="20"/>
        </w:rPr>
        <w:tab/>
        <w:t xml:space="preserve">Bruinessen, Martin Van. </w:t>
      </w:r>
      <w:r w:rsidRPr="00A42B4C">
        <w:rPr>
          <w:i/>
          <w:iCs/>
          <w:sz w:val="20"/>
          <w:szCs w:val="20"/>
        </w:rPr>
        <w:t xml:space="preserve">Kitab Kuning, Pesantren, dan Tarekat: Tradisi-tradisi Islam di Indonesia. </w:t>
      </w:r>
      <w:r w:rsidRPr="00A42B4C">
        <w:rPr>
          <w:sz w:val="20"/>
          <w:szCs w:val="20"/>
        </w:rPr>
        <w:t>Bandung: Mizan. 1995.</w:t>
      </w:r>
    </w:p>
    <w:p w:rsidR="005D6B11" w:rsidRPr="00A42B4C" w:rsidRDefault="005D6B11" w:rsidP="005D6B11">
      <w:pPr>
        <w:spacing w:before="0" w:after="0"/>
        <w:ind w:left="567" w:hanging="567"/>
        <w:rPr>
          <w:sz w:val="20"/>
          <w:szCs w:val="20"/>
        </w:rPr>
      </w:pPr>
      <w:r w:rsidRPr="00A42B4C">
        <w:rPr>
          <w:sz w:val="20"/>
          <w:szCs w:val="20"/>
        </w:rPr>
        <w:t>[14]</w:t>
      </w:r>
      <w:r w:rsidRPr="00A42B4C">
        <w:rPr>
          <w:sz w:val="20"/>
          <w:szCs w:val="20"/>
        </w:rPr>
        <w:tab/>
        <w:t xml:space="preserve">Al-Dzahabi, Muhammad Husain. </w:t>
      </w:r>
      <w:r w:rsidRPr="00A42B4C">
        <w:rPr>
          <w:i/>
          <w:iCs/>
          <w:sz w:val="20"/>
          <w:szCs w:val="20"/>
        </w:rPr>
        <w:t xml:space="preserve">Al-Tafsir wa al-Mufassirun. </w:t>
      </w:r>
      <w:r w:rsidRPr="00A42B4C">
        <w:rPr>
          <w:sz w:val="20"/>
          <w:szCs w:val="20"/>
        </w:rPr>
        <w:t>Kairo: Dar al-Hadits. 2005.</w:t>
      </w:r>
    </w:p>
    <w:p w:rsidR="005D6B11" w:rsidRPr="00A42B4C" w:rsidRDefault="005D6B11" w:rsidP="005D6B11">
      <w:pPr>
        <w:spacing w:before="0" w:after="0"/>
        <w:ind w:left="567" w:hanging="567"/>
        <w:rPr>
          <w:sz w:val="20"/>
          <w:szCs w:val="20"/>
        </w:rPr>
      </w:pPr>
      <w:r w:rsidRPr="00A42B4C">
        <w:rPr>
          <w:sz w:val="20"/>
          <w:szCs w:val="20"/>
        </w:rPr>
        <w:t>[15]</w:t>
      </w:r>
      <w:r w:rsidRPr="00A42B4C">
        <w:rPr>
          <w:sz w:val="20"/>
          <w:szCs w:val="20"/>
        </w:rPr>
        <w:tab/>
        <w:t xml:space="preserve">Dewasn Redaksi Ensiklopedi Islam. </w:t>
      </w:r>
      <w:r w:rsidRPr="00A42B4C">
        <w:rPr>
          <w:i/>
          <w:iCs/>
          <w:sz w:val="20"/>
          <w:szCs w:val="20"/>
        </w:rPr>
        <w:t>Ensiklopedi Islam.</w:t>
      </w:r>
      <w:r w:rsidRPr="00A42B4C">
        <w:rPr>
          <w:sz w:val="20"/>
          <w:szCs w:val="20"/>
        </w:rPr>
        <w:t xml:space="preserve"> Jakarta: Ikhtiar Baru Van Hoeve. T.t.</w:t>
      </w:r>
    </w:p>
    <w:p w:rsidR="005D6B11" w:rsidRPr="00A42B4C" w:rsidRDefault="005D6B11" w:rsidP="005D6B11">
      <w:pPr>
        <w:spacing w:before="0" w:after="0"/>
        <w:ind w:left="567" w:hanging="567"/>
        <w:rPr>
          <w:sz w:val="20"/>
          <w:szCs w:val="20"/>
        </w:rPr>
      </w:pPr>
      <w:r w:rsidRPr="00A42B4C">
        <w:rPr>
          <w:sz w:val="20"/>
          <w:szCs w:val="20"/>
        </w:rPr>
        <w:t>[16]</w:t>
      </w:r>
      <w:r w:rsidRPr="00A42B4C">
        <w:rPr>
          <w:sz w:val="20"/>
          <w:szCs w:val="20"/>
        </w:rPr>
        <w:tab/>
        <w:t xml:space="preserve">Effendi, Mukhtar. </w:t>
      </w:r>
      <w:r w:rsidRPr="00A42B4C">
        <w:rPr>
          <w:i/>
          <w:iCs/>
          <w:sz w:val="20"/>
          <w:szCs w:val="20"/>
        </w:rPr>
        <w:t xml:space="preserve">Ensiklopedi Agama dan Filsafat. </w:t>
      </w:r>
      <w:r w:rsidRPr="00A42B4C">
        <w:rPr>
          <w:sz w:val="20"/>
          <w:szCs w:val="20"/>
        </w:rPr>
        <w:t>Palembang: Universitas Sriwijaya. 2001.</w:t>
      </w:r>
    </w:p>
    <w:p w:rsidR="005D6B11" w:rsidRPr="00A42B4C" w:rsidRDefault="005D6B11" w:rsidP="005D6B11">
      <w:pPr>
        <w:spacing w:before="0" w:after="0"/>
        <w:ind w:left="567" w:hanging="567"/>
        <w:rPr>
          <w:sz w:val="20"/>
          <w:szCs w:val="20"/>
        </w:rPr>
      </w:pPr>
      <w:r w:rsidRPr="00A42B4C">
        <w:rPr>
          <w:sz w:val="20"/>
          <w:szCs w:val="20"/>
        </w:rPr>
        <w:t>[17]</w:t>
      </w:r>
      <w:r w:rsidRPr="00A42B4C">
        <w:rPr>
          <w:sz w:val="20"/>
          <w:szCs w:val="20"/>
        </w:rPr>
        <w:tab/>
        <w:t xml:space="preserve">Al-Farmawi, ‘Abd al-Hayy. </w:t>
      </w:r>
      <w:r w:rsidRPr="00A42B4C">
        <w:rPr>
          <w:i/>
          <w:iCs/>
          <w:sz w:val="20"/>
          <w:szCs w:val="20"/>
        </w:rPr>
        <w:t>Metode Tafsir Mawdhu’iy.</w:t>
      </w:r>
      <w:r w:rsidRPr="00A42B4C">
        <w:rPr>
          <w:sz w:val="20"/>
          <w:szCs w:val="20"/>
        </w:rPr>
        <w:t xml:space="preserve"> Terjemah Sufyan A. Jamrah. Jakarta: RajaGrafindo Persada. 1994.</w:t>
      </w:r>
    </w:p>
    <w:p w:rsidR="005D6B11" w:rsidRPr="00A42B4C" w:rsidRDefault="005D6B11" w:rsidP="005D6B11">
      <w:pPr>
        <w:spacing w:before="0" w:after="0"/>
        <w:ind w:left="426" w:hanging="426"/>
        <w:rPr>
          <w:sz w:val="20"/>
          <w:szCs w:val="20"/>
        </w:rPr>
      </w:pPr>
      <w:r w:rsidRPr="00A42B4C">
        <w:rPr>
          <w:sz w:val="20"/>
          <w:szCs w:val="20"/>
        </w:rPr>
        <w:t>[18]</w:t>
      </w:r>
      <w:r w:rsidRPr="00A42B4C">
        <w:rPr>
          <w:sz w:val="20"/>
          <w:szCs w:val="20"/>
        </w:rPr>
        <w:tab/>
        <w:t xml:space="preserve">  Al-Fatthani, Daud. </w:t>
      </w:r>
      <w:r w:rsidRPr="00A42B4C">
        <w:rPr>
          <w:i/>
          <w:iCs/>
          <w:sz w:val="20"/>
          <w:szCs w:val="20"/>
        </w:rPr>
        <w:t xml:space="preserve">Kanzul Minan ‘ala Hikami Abi Madyan. </w:t>
      </w:r>
      <w:r w:rsidRPr="00A42B4C">
        <w:rPr>
          <w:sz w:val="20"/>
          <w:szCs w:val="20"/>
        </w:rPr>
        <w:t>Makkah. 1338 H.</w:t>
      </w:r>
    </w:p>
    <w:p w:rsidR="005D6B11" w:rsidRPr="00A42B4C" w:rsidRDefault="005D6B11" w:rsidP="005D6B11">
      <w:pPr>
        <w:spacing w:before="0" w:after="0"/>
        <w:ind w:left="426" w:hanging="426"/>
        <w:rPr>
          <w:sz w:val="20"/>
          <w:szCs w:val="20"/>
        </w:rPr>
      </w:pPr>
      <w:r w:rsidRPr="00A42B4C">
        <w:rPr>
          <w:sz w:val="20"/>
          <w:szCs w:val="20"/>
        </w:rPr>
        <w:t xml:space="preserve">[19]    -------, </w:t>
      </w:r>
      <w:r w:rsidRPr="00A42B4C">
        <w:rPr>
          <w:i/>
          <w:iCs/>
          <w:sz w:val="20"/>
          <w:szCs w:val="20"/>
        </w:rPr>
        <w:t>al-Durr al-Tsamin.</w:t>
      </w:r>
      <w:r w:rsidRPr="00A42B4C">
        <w:rPr>
          <w:sz w:val="20"/>
          <w:szCs w:val="20"/>
        </w:rPr>
        <w:t xml:space="preserve"> Penang: Dar al-Ma’arif. T.t.</w:t>
      </w:r>
    </w:p>
    <w:p w:rsidR="005D6B11" w:rsidRPr="00A42B4C" w:rsidRDefault="005D6B11" w:rsidP="005D6B11">
      <w:pPr>
        <w:spacing w:before="0" w:after="0"/>
        <w:ind w:left="567" w:hanging="567"/>
        <w:rPr>
          <w:sz w:val="20"/>
          <w:szCs w:val="20"/>
        </w:rPr>
      </w:pPr>
      <w:r w:rsidRPr="00A42B4C">
        <w:rPr>
          <w:sz w:val="20"/>
          <w:szCs w:val="20"/>
        </w:rPr>
        <w:t xml:space="preserve">[20]    Fakih, Mansour. </w:t>
      </w:r>
      <w:r w:rsidRPr="00A42B4C">
        <w:rPr>
          <w:i/>
          <w:iCs/>
          <w:sz w:val="20"/>
          <w:szCs w:val="20"/>
        </w:rPr>
        <w:t xml:space="preserve">Analisis Gender dan Transformasi Sosial. </w:t>
      </w:r>
      <w:r w:rsidRPr="00A42B4C">
        <w:rPr>
          <w:sz w:val="20"/>
          <w:szCs w:val="20"/>
        </w:rPr>
        <w:t>Yogyakarta: Pustaka Pelajar. 2001.</w:t>
      </w:r>
    </w:p>
    <w:p w:rsidR="005D6B11" w:rsidRPr="00A42B4C" w:rsidRDefault="005D6B11" w:rsidP="005D6B11">
      <w:pPr>
        <w:spacing w:before="0" w:after="0"/>
        <w:ind w:left="426" w:hanging="426"/>
        <w:rPr>
          <w:sz w:val="20"/>
          <w:szCs w:val="20"/>
        </w:rPr>
      </w:pPr>
      <w:r w:rsidRPr="00A42B4C">
        <w:rPr>
          <w:sz w:val="20"/>
          <w:szCs w:val="20"/>
        </w:rPr>
        <w:t xml:space="preserve">[21]    Gibb, H.A.R. Dkk. </w:t>
      </w:r>
      <w:r w:rsidRPr="00A42B4C">
        <w:rPr>
          <w:i/>
          <w:iCs/>
          <w:sz w:val="20"/>
          <w:szCs w:val="20"/>
        </w:rPr>
        <w:t>The Encyclopedia of Islam</w:t>
      </w:r>
      <w:r w:rsidRPr="00A42B4C">
        <w:rPr>
          <w:sz w:val="20"/>
          <w:szCs w:val="20"/>
        </w:rPr>
        <w:t xml:space="preserve">. Leiden: E.J. Brill. 1960. </w:t>
      </w:r>
    </w:p>
    <w:p w:rsidR="005D6B11" w:rsidRPr="00A42B4C" w:rsidRDefault="005D6B11" w:rsidP="005D6B11">
      <w:pPr>
        <w:spacing w:before="0" w:after="0"/>
        <w:ind w:left="567" w:hanging="567"/>
        <w:rPr>
          <w:sz w:val="20"/>
          <w:szCs w:val="20"/>
        </w:rPr>
      </w:pPr>
      <w:r w:rsidRPr="00A42B4C">
        <w:rPr>
          <w:sz w:val="20"/>
          <w:szCs w:val="20"/>
        </w:rPr>
        <w:t xml:space="preserve">[22] </w:t>
      </w:r>
      <w:r w:rsidRPr="00A42B4C">
        <w:rPr>
          <w:sz w:val="20"/>
          <w:szCs w:val="20"/>
        </w:rPr>
        <w:tab/>
        <w:t xml:space="preserve">Gusmian, Islah. </w:t>
      </w:r>
      <w:r w:rsidRPr="00A42B4C">
        <w:rPr>
          <w:i/>
          <w:iCs/>
          <w:sz w:val="20"/>
          <w:szCs w:val="20"/>
        </w:rPr>
        <w:t xml:space="preserve">Khazanah Tafsir Indonesia: Dari Hermeneutika hingga Ideologi. </w:t>
      </w:r>
      <w:r w:rsidRPr="00A42B4C">
        <w:rPr>
          <w:sz w:val="20"/>
          <w:szCs w:val="20"/>
        </w:rPr>
        <w:t>Yogyakarta: LKiS, 2013.</w:t>
      </w:r>
    </w:p>
    <w:p w:rsidR="005D6B11" w:rsidRPr="00A42B4C" w:rsidRDefault="005D6B11" w:rsidP="005D6B11">
      <w:pPr>
        <w:spacing w:before="0" w:after="0"/>
        <w:ind w:left="567" w:hanging="567"/>
        <w:rPr>
          <w:sz w:val="20"/>
          <w:szCs w:val="20"/>
        </w:rPr>
      </w:pPr>
      <w:r w:rsidRPr="00A42B4C">
        <w:rPr>
          <w:sz w:val="20"/>
          <w:szCs w:val="20"/>
        </w:rPr>
        <w:t>[23]</w:t>
      </w:r>
      <w:r w:rsidRPr="00A42B4C">
        <w:rPr>
          <w:sz w:val="20"/>
          <w:szCs w:val="20"/>
        </w:rPr>
        <w:tab/>
        <w:t xml:space="preserve">Al-Khazin, Alauddin ‘Ali. </w:t>
      </w:r>
      <w:r w:rsidRPr="00A42B4C">
        <w:rPr>
          <w:i/>
          <w:iCs/>
          <w:sz w:val="20"/>
          <w:szCs w:val="20"/>
        </w:rPr>
        <w:t xml:space="preserve">Lubabu al-Ta’wil fi Ma’ani al-Tanzil. </w:t>
      </w:r>
      <w:r w:rsidRPr="00A42B4C">
        <w:rPr>
          <w:sz w:val="20"/>
          <w:szCs w:val="20"/>
        </w:rPr>
        <w:t>Beirut: Dar al-Kutub. 1415 H.</w:t>
      </w:r>
    </w:p>
    <w:p w:rsidR="005D6B11" w:rsidRPr="00A42B4C" w:rsidRDefault="005D6B11" w:rsidP="005D6B11">
      <w:pPr>
        <w:spacing w:before="0" w:after="0"/>
        <w:ind w:left="426" w:hanging="426"/>
        <w:rPr>
          <w:sz w:val="20"/>
          <w:szCs w:val="20"/>
        </w:rPr>
      </w:pPr>
      <w:r w:rsidRPr="00A42B4C">
        <w:rPr>
          <w:sz w:val="20"/>
          <w:szCs w:val="20"/>
        </w:rPr>
        <w:t xml:space="preserve">[24]   Muslim, Musthafa. </w:t>
      </w:r>
      <w:r w:rsidRPr="00A42B4C">
        <w:rPr>
          <w:i/>
          <w:iCs/>
          <w:sz w:val="20"/>
          <w:szCs w:val="20"/>
        </w:rPr>
        <w:t xml:space="preserve">Mabahits fi al-Tafsir al-Mawdhu’i. </w:t>
      </w:r>
      <w:r w:rsidRPr="00A42B4C">
        <w:rPr>
          <w:sz w:val="20"/>
          <w:szCs w:val="20"/>
        </w:rPr>
        <w:t>Beirut: Dar al-Qalam. 1989.</w:t>
      </w:r>
    </w:p>
    <w:p w:rsidR="005D6B11" w:rsidRPr="00A42B4C" w:rsidRDefault="005D6B11" w:rsidP="005D6B11">
      <w:pPr>
        <w:spacing w:before="0" w:after="0"/>
        <w:ind w:left="426" w:hanging="426"/>
        <w:rPr>
          <w:sz w:val="20"/>
          <w:szCs w:val="20"/>
        </w:rPr>
      </w:pPr>
      <w:r w:rsidRPr="00A42B4C">
        <w:rPr>
          <w:sz w:val="20"/>
          <w:szCs w:val="20"/>
        </w:rPr>
        <w:t xml:space="preserve">[25] Al-Naisaburi, Ahmad al-Husain. </w:t>
      </w:r>
      <w:r w:rsidRPr="00A42B4C">
        <w:rPr>
          <w:i/>
          <w:iCs/>
          <w:sz w:val="20"/>
          <w:szCs w:val="20"/>
        </w:rPr>
        <w:t xml:space="preserve">Al-Mabsuth fi al-Qiraat al-‘Asyr. </w:t>
      </w:r>
      <w:r w:rsidRPr="00A42B4C">
        <w:rPr>
          <w:sz w:val="20"/>
          <w:szCs w:val="20"/>
        </w:rPr>
        <w:t>Damaskus: Majma’ al-Lughah al ‘Arabiyyah. 1981.</w:t>
      </w:r>
    </w:p>
    <w:p w:rsidR="005D6B11" w:rsidRPr="00A42B4C" w:rsidRDefault="005D6B11" w:rsidP="005D6B11">
      <w:pPr>
        <w:spacing w:before="0" w:after="0"/>
        <w:ind w:left="567" w:hanging="567"/>
        <w:rPr>
          <w:sz w:val="20"/>
          <w:szCs w:val="20"/>
        </w:rPr>
      </w:pPr>
      <w:r w:rsidRPr="00A42B4C">
        <w:rPr>
          <w:sz w:val="20"/>
          <w:szCs w:val="20"/>
        </w:rPr>
        <w:t xml:space="preserve">[26]  Al-Naisaburi, Muslim ibn al-Hajjaj. </w:t>
      </w:r>
      <w:r w:rsidRPr="00A42B4C">
        <w:rPr>
          <w:i/>
          <w:iCs/>
          <w:sz w:val="20"/>
          <w:szCs w:val="20"/>
        </w:rPr>
        <w:t>Al-Musnad al-Shahih al-Mukhtashar.</w:t>
      </w:r>
      <w:r w:rsidRPr="00A42B4C">
        <w:rPr>
          <w:sz w:val="20"/>
          <w:szCs w:val="20"/>
        </w:rPr>
        <w:t xml:space="preserve"> Beirut: Dar Ihya al-Turats. T.t.</w:t>
      </w:r>
    </w:p>
    <w:p w:rsidR="005D6B11" w:rsidRPr="00A42B4C" w:rsidRDefault="005D6B11" w:rsidP="005D6B11">
      <w:pPr>
        <w:spacing w:before="0" w:after="0"/>
        <w:ind w:left="426" w:hanging="426"/>
        <w:rPr>
          <w:sz w:val="20"/>
          <w:szCs w:val="20"/>
        </w:rPr>
      </w:pPr>
      <w:r w:rsidRPr="00A42B4C">
        <w:rPr>
          <w:sz w:val="20"/>
          <w:szCs w:val="20"/>
        </w:rPr>
        <w:t xml:space="preserve">[27]   Pringgodigdo, A.G. Dkk. </w:t>
      </w:r>
      <w:r w:rsidRPr="00A42B4C">
        <w:rPr>
          <w:i/>
          <w:iCs/>
          <w:sz w:val="20"/>
          <w:szCs w:val="20"/>
        </w:rPr>
        <w:t>Ensiklopedi Umum.</w:t>
      </w:r>
      <w:r w:rsidRPr="00A42B4C">
        <w:rPr>
          <w:sz w:val="20"/>
          <w:szCs w:val="20"/>
        </w:rPr>
        <w:t xml:space="preserve"> Yogyakarta: Kanisius. 1973.</w:t>
      </w:r>
    </w:p>
    <w:p w:rsidR="005D6B11" w:rsidRPr="00A42B4C" w:rsidRDefault="005D6B11" w:rsidP="005D6B11">
      <w:pPr>
        <w:spacing w:before="0" w:after="0"/>
        <w:ind w:left="426" w:hanging="426"/>
        <w:rPr>
          <w:sz w:val="20"/>
          <w:szCs w:val="20"/>
        </w:rPr>
      </w:pPr>
      <w:r w:rsidRPr="00A42B4C">
        <w:rPr>
          <w:sz w:val="20"/>
          <w:szCs w:val="20"/>
        </w:rPr>
        <w:t xml:space="preserve">[28]   Shadily, Hasan. Dkk. </w:t>
      </w:r>
      <w:r w:rsidRPr="00A42B4C">
        <w:rPr>
          <w:i/>
          <w:iCs/>
          <w:sz w:val="20"/>
          <w:szCs w:val="20"/>
        </w:rPr>
        <w:t xml:space="preserve">Ensiklopedi Indonesia. </w:t>
      </w:r>
      <w:r w:rsidRPr="00A42B4C">
        <w:rPr>
          <w:sz w:val="20"/>
          <w:szCs w:val="20"/>
        </w:rPr>
        <w:t>Jakarta: Ikhtiar Baru Van Hoeve. 1980.</w:t>
      </w:r>
    </w:p>
    <w:p w:rsidR="005D6B11" w:rsidRPr="00A42B4C" w:rsidRDefault="005D6B11" w:rsidP="005D6B11">
      <w:pPr>
        <w:spacing w:before="0" w:after="0"/>
        <w:ind w:left="426" w:hanging="426"/>
        <w:rPr>
          <w:sz w:val="20"/>
          <w:szCs w:val="20"/>
        </w:rPr>
      </w:pPr>
      <w:r w:rsidRPr="00A42B4C">
        <w:rPr>
          <w:sz w:val="20"/>
          <w:szCs w:val="20"/>
        </w:rPr>
        <w:t xml:space="preserve">[29] </w:t>
      </w:r>
      <w:r w:rsidRPr="00A42B4C">
        <w:rPr>
          <w:sz w:val="20"/>
          <w:szCs w:val="20"/>
        </w:rPr>
        <w:tab/>
        <w:t xml:space="preserve"> Shadr, Muhammad Baqir. </w:t>
      </w:r>
      <w:r w:rsidRPr="00A42B4C">
        <w:rPr>
          <w:i/>
          <w:iCs/>
          <w:sz w:val="20"/>
          <w:szCs w:val="20"/>
        </w:rPr>
        <w:t>Paradigma Kecenderungan Sejarah dalam al-Quran.</w:t>
      </w:r>
      <w:r w:rsidRPr="00A42B4C">
        <w:rPr>
          <w:sz w:val="20"/>
          <w:szCs w:val="20"/>
        </w:rPr>
        <w:t xml:space="preserve"> Terjemah M.S. Nasrullah.  </w:t>
      </w:r>
      <w:r w:rsidRPr="00A42B4C">
        <w:rPr>
          <w:sz w:val="20"/>
          <w:szCs w:val="20"/>
        </w:rPr>
        <w:br/>
        <w:t xml:space="preserve"> Jakarta: Shadra Press. 2010.</w:t>
      </w:r>
    </w:p>
    <w:p w:rsidR="005D6B11" w:rsidRPr="00A42B4C" w:rsidRDefault="005D6B11" w:rsidP="005D6B11">
      <w:pPr>
        <w:spacing w:before="0" w:after="0"/>
        <w:ind w:left="567" w:hanging="567"/>
        <w:rPr>
          <w:sz w:val="20"/>
          <w:szCs w:val="20"/>
        </w:rPr>
      </w:pPr>
      <w:r w:rsidRPr="00A42B4C">
        <w:rPr>
          <w:sz w:val="20"/>
          <w:szCs w:val="20"/>
        </w:rPr>
        <w:t>[30]</w:t>
      </w:r>
      <w:r w:rsidRPr="00A42B4C">
        <w:rPr>
          <w:sz w:val="20"/>
          <w:szCs w:val="20"/>
        </w:rPr>
        <w:tab/>
        <w:t xml:space="preserve">Singkel, ‘Abd al-Ra’uf. </w:t>
      </w:r>
      <w:r w:rsidRPr="00A42B4C">
        <w:rPr>
          <w:i/>
          <w:iCs/>
          <w:sz w:val="20"/>
          <w:szCs w:val="20"/>
        </w:rPr>
        <w:t xml:space="preserve">Al-Quran al-Karim wa bi Hamisyati Turjuman al-Mustafid. </w:t>
      </w:r>
      <w:r w:rsidRPr="00A42B4C">
        <w:rPr>
          <w:sz w:val="20"/>
          <w:szCs w:val="20"/>
        </w:rPr>
        <w:t>Ahmad Abad Mumbai. 1951.</w:t>
      </w:r>
    </w:p>
    <w:p w:rsidR="005D6B11" w:rsidRPr="00A42B4C" w:rsidRDefault="005D6B11" w:rsidP="005D6B11">
      <w:pPr>
        <w:spacing w:before="0" w:after="0"/>
        <w:ind w:left="567" w:hanging="567"/>
        <w:rPr>
          <w:sz w:val="20"/>
          <w:szCs w:val="20"/>
        </w:rPr>
      </w:pPr>
      <w:r w:rsidRPr="00A42B4C">
        <w:rPr>
          <w:sz w:val="20"/>
          <w:szCs w:val="20"/>
        </w:rPr>
        <w:t>[31]</w:t>
      </w:r>
      <w:r w:rsidRPr="00A42B4C">
        <w:rPr>
          <w:sz w:val="20"/>
          <w:szCs w:val="20"/>
        </w:rPr>
        <w:tab/>
        <w:t xml:space="preserve">Suryadi. ‘Lubab al-Ta’wil fi Ma’ani al-Tanzil Karya al-Khazin’ dalam A. Rofiq. (Ed.). </w:t>
      </w:r>
      <w:r w:rsidRPr="00A42B4C">
        <w:rPr>
          <w:i/>
          <w:iCs/>
          <w:sz w:val="20"/>
          <w:szCs w:val="20"/>
        </w:rPr>
        <w:t>Studi Kitab Tafsir.</w:t>
      </w:r>
      <w:r w:rsidRPr="00A42B4C">
        <w:rPr>
          <w:sz w:val="20"/>
          <w:szCs w:val="20"/>
        </w:rPr>
        <w:t xml:space="preserve"> Yogyakarta. TH-Press. 2004.</w:t>
      </w:r>
    </w:p>
    <w:p w:rsidR="005D6B11" w:rsidRPr="00A42B4C" w:rsidRDefault="005D6B11" w:rsidP="005D6B11">
      <w:pPr>
        <w:spacing w:before="0" w:after="0"/>
        <w:ind w:left="567" w:hanging="567"/>
        <w:rPr>
          <w:sz w:val="20"/>
          <w:szCs w:val="20"/>
        </w:rPr>
      </w:pPr>
      <w:r w:rsidRPr="00A42B4C">
        <w:rPr>
          <w:sz w:val="20"/>
          <w:szCs w:val="20"/>
        </w:rPr>
        <w:t>[32]</w:t>
      </w:r>
      <w:r w:rsidRPr="00A42B4C">
        <w:rPr>
          <w:sz w:val="20"/>
          <w:szCs w:val="20"/>
        </w:rPr>
        <w:tab/>
        <w:t xml:space="preserve">Al-Syaibani, Ahmad ibn Muhammad. </w:t>
      </w:r>
      <w:r w:rsidRPr="00A42B4C">
        <w:rPr>
          <w:i/>
          <w:iCs/>
          <w:sz w:val="20"/>
          <w:szCs w:val="20"/>
        </w:rPr>
        <w:t>Musnad al-Imam Ahmad ibn Hanbal.</w:t>
      </w:r>
      <w:r w:rsidRPr="00A42B4C">
        <w:rPr>
          <w:sz w:val="20"/>
          <w:szCs w:val="20"/>
        </w:rPr>
        <w:t xml:space="preserve"> Muassasah al-Risalah. 2001.</w:t>
      </w:r>
    </w:p>
    <w:p w:rsidR="005D6B11" w:rsidRPr="00A42B4C" w:rsidRDefault="005D6B11" w:rsidP="005D6B11">
      <w:pPr>
        <w:spacing w:before="0" w:after="0"/>
        <w:ind w:left="567" w:hanging="567"/>
        <w:rPr>
          <w:sz w:val="20"/>
          <w:szCs w:val="20"/>
        </w:rPr>
      </w:pPr>
      <w:r w:rsidRPr="00A42B4C">
        <w:rPr>
          <w:sz w:val="20"/>
          <w:szCs w:val="20"/>
        </w:rPr>
        <w:t>[33]</w:t>
      </w:r>
      <w:r w:rsidRPr="00A42B4C">
        <w:rPr>
          <w:sz w:val="20"/>
          <w:szCs w:val="20"/>
        </w:rPr>
        <w:tab/>
        <w:t xml:space="preserve">Syamsudin, Sahiron. </w:t>
      </w:r>
      <w:r w:rsidRPr="00A42B4C">
        <w:rPr>
          <w:i/>
          <w:iCs/>
          <w:sz w:val="20"/>
          <w:szCs w:val="20"/>
        </w:rPr>
        <w:t>Hermeneutika dan Pengembangan Ulum al-Qur’an</w:t>
      </w:r>
      <w:r w:rsidRPr="00A42B4C">
        <w:rPr>
          <w:sz w:val="20"/>
          <w:szCs w:val="20"/>
        </w:rPr>
        <w:t xml:space="preserve">. Yogykarta: Pesantren Nawesea Press. 2009. </w:t>
      </w:r>
    </w:p>
    <w:p w:rsidR="005D6B11" w:rsidRPr="00A42B4C" w:rsidRDefault="005D6B11" w:rsidP="005D6B11">
      <w:pPr>
        <w:spacing w:before="0" w:after="0"/>
        <w:ind w:left="567" w:hanging="567"/>
        <w:rPr>
          <w:sz w:val="20"/>
          <w:szCs w:val="20"/>
        </w:rPr>
      </w:pPr>
      <w:r w:rsidRPr="00A42B4C">
        <w:rPr>
          <w:sz w:val="20"/>
          <w:szCs w:val="20"/>
        </w:rPr>
        <w:t>[34]</w:t>
      </w:r>
      <w:r w:rsidRPr="00A42B4C">
        <w:rPr>
          <w:sz w:val="20"/>
          <w:szCs w:val="20"/>
        </w:rPr>
        <w:tab/>
        <w:t xml:space="preserve">Tim Penulis IAIN Syarif Hidayatullah. </w:t>
      </w:r>
      <w:r w:rsidRPr="00A42B4C">
        <w:rPr>
          <w:i/>
          <w:iCs/>
          <w:sz w:val="20"/>
          <w:szCs w:val="20"/>
        </w:rPr>
        <w:t xml:space="preserve">Ensiklopedi Islam Indonesia. </w:t>
      </w:r>
      <w:r w:rsidRPr="00A42B4C">
        <w:rPr>
          <w:sz w:val="20"/>
          <w:szCs w:val="20"/>
        </w:rPr>
        <w:t>Jakarta: Djambatan. 1992.</w:t>
      </w:r>
    </w:p>
    <w:p w:rsidR="005D6B11" w:rsidRPr="00A42B4C" w:rsidRDefault="005D6B11" w:rsidP="005D6B11">
      <w:pPr>
        <w:spacing w:before="0" w:after="0"/>
        <w:ind w:left="426" w:hanging="426"/>
        <w:rPr>
          <w:sz w:val="20"/>
          <w:szCs w:val="20"/>
        </w:rPr>
      </w:pPr>
      <w:r w:rsidRPr="00A42B4C">
        <w:rPr>
          <w:sz w:val="20"/>
          <w:szCs w:val="20"/>
        </w:rPr>
        <w:t>[35]</w:t>
      </w:r>
      <w:r w:rsidRPr="00A42B4C">
        <w:rPr>
          <w:sz w:val="20"/>
          <w:szCs w:val="20"/>
        </w:rPr>
        <w:tab/>
        <w:t xml:space="preserve">  Umar, Nasaruddin. </w:t>
      </w:r>
      <w:r w:rsidRPr="00A42B4C">
        <w:rPr>
          <w:i/>
          <w:iCs/>
          <w:sz w:val="20"/>
          <w:szCs w:val="20"/>
        </w:rPr>
        <w:t xml:space="preserve">Argumen Kesetaraan Jender. </w:t>
      </w:r>
      <w:r w:rsidRPr="00A42B4C">
        <w:rPr>
          <w:sz w:val="20"/>
          <w:szCs w:val="20"/>
        </w:rPr>
        <w:t>Jakarta: Paramadina. 2001.</w:t>
      </w:r>
    </w:p>
    <w:p w:rsidR="005D6B11" w:rsidRPr="00A42B4C" w:rsidRDefault="005D6B11" w:rsidP="005D6B11">
      <w:pPr>
        <w:spacing w:before="0" w:after="0"/>
        <w:ind w:left="567" w:hanging="567"/>
        <w:rPr>
          <w:sz w:val="20"/>
          <w:szCs w:val="20"/>
        </w:rPr>
      </w:pPr>
      <w:r w:rsidRPr="00A42B4C">
        <w:rPr>
          <w:sz w:val="20"/>
          <w:szCs w:val="20"/>
        </w:rPr>
        <w:t xml:space="preserve">[36]   Yusoff, Zulkifli Mohd dan Wan Nasyirudin Wan Abdullah. ‘Tarjuman al-Mustafid: Satu Analisa terhadap Karya Terjemahan’ dalam </w:t>
      </w:r>
      <w:r w:rsidRPr="00A42B4C">
        <w:rPr>
          <w:i/>
          <w:iCs/>
          <w:sz w:val="20"/>
          <w:szCs w:val="20"/>
        </w:rPr>
        <w:t>Jurnal Pengajian Melayu</w:t>
      </w:r>
      <w:r w:rsidRPr="00A42B4C">
        <w:rPr>
          <w:sz w:val="20"/>
          <w:szCs w:val="20"/>
        </w:rPr>
        <w:t>. Vol. 16. 2005.</w:t>
      </w:r>
    </w:p>
    <w:sectPr w:rsidR="005D6B11" w:rsidRPr="00A42B4C" w:rsidSect="00304503">
      <w:footnotePr>
        <w:pos w:val="beneathText"/>
        <w:numRestart w:val="eachPage"/>
      </w:footnotePr>
      <w:pgSz w:w="11906" w:h="16838" w:code="9"/>
      <w:pgMar w:top="1440" w:right="1440" w:bottom="851" w:left="1440" w:header="851" w:footer="703" w:gutter="0"/>
      <w:pgNumType w:start="127"/>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03DB" w:rsidRPr="004A1863" w:rsidRDefault="008903DB" w:rsidP="004E6830">
      <w:pPr>
        <w:spacing w:before="0" w:after="0"/>
      </w:pPr>
      <w:r>
        <w:separator/>
      </w:r>
    </w:p>
  </w:endnote>
  <w:endnote w:type="continuationSeparator" w:id="1">
    <w:p w:rsidR="008903DB" w:rsidRPr="004A1863" w:rsidRDefault="008903DB" w:rsidP="004E6830">
      <w:pPr>
        <w:spacing w:before="0" w:after="0"/>
      </w:pPr>
      <w:r>
        <w:continuationSeparator/>
      </w:r>
    </w:p>
  </w:endnote>
  <w:endnote w:id="2">
    <w:p w:rsidR="00304503" w:rsidRPr="00E32A23" w:rsidRDefault="00304503" w:rsidP="00304503">
      <w:pPr>
        <w:pStyle w:val="EndnoteText"/>
        <w:jc w:val="both"/>
      </w:pPr>
    </w:p>
  </w:endnote>
  <w:endnote w:id="3">
    <w:p w:rsidR="00304503" w:rsidRPr="00E32A23" w:rsidRDefault="00304503" w:rsidP="00304503">
      <w:pPr>
        <w:pStyle w:val="EndnoteText"/>
        <w:jc w:val="both"/>
        <w:rPr>
          <w:sz w:val="18"/>
          <w:szCs w:val="18"/>
        </w:rPr>
      </w:pPr>
    </w:p>
  </w:endnote>
  <w:endnote w:id="4">
    <w:p w:rsidR="00304503" w:rsidRDefault="00304503" w:rsidP="00304503">
      <w:pPr>
        <w:pStyle w:val="EndnoteText"/>
        <w:jc w:val="both"/>
        <w:rPr>
          <w:rFonts w:ascii="Times New Roman" w:hAnsi="Times New Roman"/>
          <w:sz w:val="18"/>
          <w:szCs w:val="18"/>
          <w:lang w:val="en-GB"/>
        </w:rPr>
      </w:pPr>
    </w:p>
    <w:p w:rsidR="00304503" w:rsidRPr="00E32A23" w:rsidRDefault="00304503" w:rsidP="00304503">
      <w:pPr>
        <w:pStyle w:val="EndnoteText"/>
        <w:jc w:val="both"/>
        <w:rPr>
          <w:sz w:val="18"/>
          <w:szCs w:val="18"/>
        </w:rPr>
      </w:pPr>
    </w:p>
  </w:endnote>
  <w:endnote w:id="5">
    <w:p w:rsidR="00304503" w:rsidRPr="00E32A23" w:rsidRDefault="00304503" w:rsidP="00304503">
      <w:pPr>
        <w:pStyle w:val="EndnoteText"/>
        <w:jc w:val="both"/>
        <w:rPr>
          <w:sz w:val="18"/>
          <w:szCs w:val="18"/>
        </w:rPr>
      </w:pPr>
    </w:p>
  </w:endnote>
  <w:endnote w:id="6">
    <w:p w:rsidR="00304503" w:rsidRPr="00E32A23" w:rsidRDefault="00304503" w:rsidP="00304503">
      <w:pPr>
        <w:pStyle w:val="EndnoteText"/>
        <w:jc w:val="both"/>
        <w:rPr>
          <w:sz w:val="18"/>
          <w:szCs w:val="18"/>
        </w:rPr>
      </w:pPr>
    </w:p>
  </w:endnote>
  <w:endnote w:id="7">
    <w:p w:rsidR="00304503" w:rsidRPr="00334D55" w:rsidRDefault="00304503" w:rsidP="00304503">
      <w:pPr>
        <w:pStyle w:val="EndnoteText"/>
        <w:ind w:firstLine="426"/>
        <w:jc w:val="both"/>
        <w:rPr>
          <w:sz w:val="18"/>
          <w:szCs w:val="18"/>
        </w:rPr>
      </w:pPr>
    </w:p>
  </w:endnote>
  <w:endnote w:id="8">
    <w:p w:rsidR="00304503" w:rsidRPr="00334D55" w:rsidRDefault="00304503" w:rsidP="00304503">
      <w:pPr>
        <w:pStyle w:val="EndnoteText"/>
        <w:jc w:val="both"/>
        <w:rPr>
          <w:sz w:val="18"/>
          <w:szCs w:val="18"/>
        </w:rPr>
      </w:pPr>
    </w:p>
  </w:endnote>
  <w:endnote w:id="9">
    <w:p w:rsidR="00304503" w:rsidRPr="00712E0A" w:rsidRDefault="00304503" w:rsidP="00304503">
      <w:pPr>
        <w:pStyle w:val="EndnoteText"/>
        <w:jc w:val="both"/>
        <w:rPr>
          <w:sz w:val="18"/>
          <w:szCs w:val="18"/>
        </w:rPr>
      </w:pPr>
    </w:p>
  </w:endnote>
  <w:endnote w:id="10">
    <w:p w:rsidR="00304503" w:rsidRPr="00712E0A" w:rsidRDefault="00304503" w:rsidP="00304503">
      <w:pPr>
        <w:pStyle w:val="EndnoteText"/>
        <w:jc w:val="both"/>
        <w:rPr>
          <w:sz w:val="18"/>
          <w:szCs w:val="18"/>
        </w:rPr>
      </w:pPr>
    </w:p>
  </w:endnote>
  <w:endnote w:id="11">
    <w:p w:rsidR="00304503" w:rsidRPr="00712E0A" w:rsidRDefault="00304503" w:rsidP="00304503">
      <w:pPr>
        <w:pStyle w:val="EndnoteText"/>
        <w:jc w:val="both"/>
        <w:rPr>
          <w:sz w:val="18"/>
          <w:szCs w:val="18"/>
        </w:rPr>
      </w:pPr>
    </w:p>
  </w:endnote>
  <w:endnote w:id="12">
    <w:p w:rsidR="00304503" w:rsidRPr="00712E0A" w:rsidRDefault="00304503" w:rsidP="00304503">
      <w:pPr>
        <w:pStyle w:val="EndnoteText"/>
        <w:jc w:val="both"/>
        <w:rPr>
          <w:sz w:val="18"/>
          <w:szCs w:val="18"/>
        </w:rPr>
      </w:pPr>
    </w:p>
  </w:endnote>
  <w:endnote w:id="13">
    <w:p w:rsidR="00304503" w:rsidRPr="00334D55" w:rsidRDefault="00304503" w:rsidP="00304503">
      <w:pPr>
        <w:pStyle w:val="EndnoteText"/>
        <w:jc w:val="both"/>
        <w:rPr>
          <w:sz w:val="18"/>
          <w:szCs w:val="18"/>
        </w:rPr>
      </w:pPr>
    </w:p>
  </w:endnote>
  <w:endnote w:id="14">
    <w:p w:rsidR="00304503" w:rsidRPr="00712E0A" w:rsidRDefault="00304503" w:rsidP="00304503">
      <w:pPr>
        <w:pStyle w:val="EndnoteText"/>
        <w:jc w:val="both"/>
        <w:rPr>
          <w:sz w:val="18"/>
          <w:szCs w:val="18"/>
        </w:rPr>
      </w:pPr>
    </w:p>
  </w:endnote>
  <w:endnote w:id="15">
    <w:p w:rsidR="00304503" w:rsidRPr="00334D55" w:rsidRDefault="00304503" w:rsidP="00304503">
      <w:pPr>
        <w:pStyle w:val="EndnoteText"/>
        <w:jc w:val="both"/>
        <w:rPr>
          <w:sz w:val="18"/>
          <w:szCs w:val="18"/>
        </w:rPr>
      </w:pPr>
    </w:p>
  </w:endnote>
  <w:endnote w:id="16">
    <w:p w:rsidR="00304503" w:rsidRPr="00712E0A" w:rsidRDefault="00304503" w:rsidP="00304503">
      <w:pPr>
        <w:pStyle w:val="EndnoteText"/>
        <w:jc w:val="both"/>
        <w:rPr>
          <w:sz w:val="18"/>
          <w:szCs w:val="18"/>
        </w:rPr>
      </w:pPr>
    </w:p>
  </w:endnote>
  <w:endnote w:id="17">
    <w:p w:rsidR="00304503" w:rsidRPr="00712E0A" w:rsidRDefault="00304503" w:rsidP="00304503">
      <w:pPr>
        <w:pStyle w:val="EndnoteText"/>
        <w:jc w:val="both"/>
        <w:rPr>
          <w:sz w:val="18"/>
          <w:szCs w:val="18"/>
        </w:rPr>
      </w:pPr>
    </w:p>
  </w:endnote>
  <w:endnote w:id="18">
    <w:p w:rsidR="00304503" w:rsidRPr="00712E0A" w:rsidRDefault="00304503" w:rsidP="00304503">
      <w:pPr>
        <w:pStyle w:val="EndnoteText"/>
        <w:jc w:val="both"/>
        <w:rPr>
          <w:sz w:val="18"/>
          <w:szCs w:val="18"/>
        </w:rPr>
      </w:pPr>
    </w:p>
  </w:endnote>
  <w:endnote w:id="19">
    <w:p w:rsidR="00304503" w:rsidRPr="00712E0A" w:rsidRDefault="00304503" w:rsidP="00304503">
      <w:pPr>
        <w:pStyle w:val="EndnoteText"/>
        <w:jc w:val="both"/>
        <w:rPr>
          <w:sz w:val="18"/>
          <w:szCs w:val="18"/>
        </w:rPr>
      </w:pPr>
    </w:p>
  </w:endnote>
  <w:endnote w:id="20">
    <w:p w:rsidR="00304503" w:rsidRPr="00712E0A" w:rsidRDefault="00304503" w:rsidP="00304503">
      <w:pPr>
        <w:pStyle w:val="EndnoteText"/>
        <w:jc w:val="both"/>
        <w:rPr>
          <w:sz w:val="18"/>
          <w:szCs w:val="18"/>
        </w:rPr>
      </w:pPr>
    </w:p>
  </w:endnote>
  <w:endnote w:id="21">
    <w:p w:rsidR="00304503" w:rsidRPr="00712E0A" w:rsidRDefault="00304503" w:rsidP="00304503">
      <w:pPr>
        <w:pStyle w:val="EndnoteText"/>
        <w:jc w:val="both"/>
        <w:rPr>
          <w:sz w:val="18"/>
          <w:szCs w:val="18"/>
        </w:rPr>
      </w:pPr>
    </w:p>
  </w:endnote>
  <w:endnote w:id="22">
    <w:p w:rsidR="00304503" w:rsidRPr="00B34373" w:rsidRDefault="00304503" w:rsidP="00304503">
      <w:pPr>
        <w:pStyle w:val="EndnoteText"/>
        <w:jc w:val="both"/>
        <w:rPr>
          <w:sz w:val="18"/>
          <w:szCs w:val="18"/>
        </w:rPr>
      </w:pPr>
    </w:p>
  </w:endnote>
  <w:endnote w:id="23">
    <w:p w:rsidR="00304503" w:rsidRPr="00B34373" w:rsidRDefault="00304503" w:rsidP="00304503">
      <w:pPr>
        <w:pStyle w:val="EndnoteText"/>
        <w:jc w:val="both"/>
        <w:rPr>
          <w:sz w:val="18"/>
          <w:szCs w:val="18"/>
        </w:rPr>
      </w:pPr>
    </w:p>
  </w:endnote>
  <w:endnote w:id="24">
    <w:p w:rsidR="00304503" w:rsidRPr="00B34373" w:rsidRDefault="00304503" w:rsidP="00304503">
      <w:pPr>
        <w:pStyle w:val="EndnoteText"/>
        <w:jc w:val="both"/>
        <w:rPr>
          <w:sz w:val="18"/>
          <w:szCs w:val="18"/>
        </w:rPr>
      </w:pPr>
    </w:p>
  </w:endnote>
  <w:endnote w:id="25">
    <w:p w:rsidR="00304503" w:rsidRPr="00334D55" w:rsidRDefault="00304503" w:rsidP="00304503">
      <w:pPr>
        <w:pStyle w:val="EndnoteText"/>
        <w:jc w:val="both"/>
        <w:rPr>
          <w:sz w:val="18"/>
          <w:szCs w:val="18"/>
        </w:rPr>
      </w:pPr>
    </w:p>
  </w:endnote>
  <w:endnote w:id="26">
    <w:p w:rsidR="00304503" w:rsidRPr="00B34373" w:rsidRDefault="00304503" w:rsidP="00304503">
      <w:pPr>
        <w:pStyle w:val="EndnoteText"/>
        <w:jc w:val="both"/>
        <w:rPr>
          <w:sz w:val="18"/>
          <w:szCs w:val="18"/>
        </w:rPr>
      </w:pPr>
    </w:p>
  </w:endnote>
  <w:endnote w:id="27">
    <w:p w:rsidR="00304503" w:rsidRPr="00B34373" w:rsidRDefault="00304503" w:rsidP="00304503">
      <w:pPr>
        <w:pStyle w:val="EndnoteText"/>
        <w:jc w:val="both"/>
        <w:rPr>
          <w:sz w:val="18"/>
          <w:szCs w:val="18"/>
        </w:rPr>
      </w:pPr>
    </w:p>
  </w:endnote>
  <w:endnote w:id="28">
    <w:p w:rsidR="00304503" w:rsidRPr="00855BF0" w:rsidRDefault="00304503" w:rsidP="00304503">
      <w:pPr>
        <w:spacing w:before="0" w:after="0"/>
        <w:ind w:left="0"/>
        <w:rPr>
          <w:sz w:val="18"/>
          <w:szCs w:val="18"/>
        </w:rPr>
      </w:pPr>
    </w:p>
  </w:endnote>
  <w:endnote w:id="29">
    <w:p w:rsidR="00304503" w:rsidRPr="00855BF0" w:rsidRDefault="00304503" w:rsidP="00304503">
      <w:pPr>
        <w:pStyle w:val="EndnoteText"/>
        <w:jc w:val="both"/>
        <w:rPr>
          <w:sz w:val="18"/>
          <w:szCs w:val="18"/>
        </w:rPr>
      </w:pPr>
    </w:p>
  </w:endnote>
  <w:endnote w:id="30">
    <w:p w:rsidR="00304503" w:rsidRPr="00334D55" w:rsidRDefault="00304503" w:rsidP="00304503">
      <w:pPr>
        <w:pStyle w:val="EndnoteText"/>
        <w:jc w:val="both"/>
        <w:rPr>
          <w:sz w:val="18"/>
          <w:szCs w:val="18"/>
        </w:rPr>
      </w:pPr>
    </w:p>
  </w:endnote>
  <w:endnote w:id="31">
    <w:p w:rsidR="00304503" w:rsidRPr="00855BF0" w:rsidRDefault="00304503" w:rsidP="00304503">
      <w:pPr>
        <w:pStyle w:val="EndnoteText"/>
        <w:jc w:val="both"/>
        <w:rPr>
          <w:sz w:val="18"/>
          <w:szCs w:val="18"/>
        </w:rPr>
      </w:pPr>
    </w:p>
  </w:endnote>
  <w:endnote w:id="32">
    <w:p w:rsidR="00304503" w:rsidRPr="00334D55" w:rsidRDefault="00304503" w:rsidP="00304503">
      <w:pPr>
        <w:pStyle w:val="EndnoteText"/>
        <w:rPr>
          <w:sz w:val="18"/>
          <w:szCs w:val="18"/>
        </w:rPr>
      </w:pPr>
    </w:p>
  </w:endnote>
  <w:endnote w:id="33">
    <w:p w:rsidR="00304503" w:rsidRPr="00855BF0" w:rsidRDefault="00304503" w:rsidP="00304503">
      <w:pPr>
        <w:pStyle w:val="EndnoteText"/>
        <w:jc w:val="both"/>
        <w:rPr>
          <w:sz w:val="18"/>
          <w:szCs w:val="18"/>
        </w:rPr>
      </w:pPr>
    </w:p>
  </w:endnote>
  <w:endnote w:id="34">
    <w:p w:rsidR="00304503" w:rsidRPr="00334D55" w:rsidRDefault="00304503" w:rsidP="00304503">
      <w:pPr>
        <w:pStyle w:val="EndnoteText"/>
        <w:jc w:val="both"/>
        <w:rPr>
          <w:sz w:val="18"/>
          <w:szCs w:val="18"/>
        </w:rPr>
      </w:pPr>
    </w:p>
  </w:endnote>
  <w:endnote w:id="35">
    <w:p w:rsidR="00304503" w:rsidRPr="00334D55" w:rsidRDefault="00304503" w:rsidP="00304503">
      <w:pPr>
        <w:pStyle w:val="EndnoteText"/>
        <w:jc w:val="both"/>
        <w:rPr>
          <w:sz w:val="18"/>
          <w:szCs w:val="18"/>
        </w:rPr>
      </w:pPr>
    </w:p>
  </w:endnote>
  <w:endnote w:id="36">
    <w:p w:rsidR="00304503" w:rsidRPr="00334D55" w:rsidRDefault="00304503" w:rsidP="00304503">
      <w:pPr>
        <w:pStyle w:val="EndnoteText"/>
        <w:jc w:val="both"/>
        <w:rPr>
          <w:sz w:val="18"/>
          <w:szCs w:val="18"/>
        </w:rPr>
      </w:pPr>
    </w:p>
  </w:endnote>
  <w:endnote w:id="37">
    <w:p w:rsidR="00304503" w:rsidRPr="00334D55" w:rsidRDefault="00304503" w:rsidP="00304503">
      <w:pPr>
        <w:pStyle w:val="EndnoteText"/>
        <w:jc w:val="both"/>
        <w:rPr>
          <w:sz w:val="18"/>
          <w:szCs w:val="18"/>
        </w:rPr>
      </w:pPr>
    </w:p>
  </w:endnote>
  <w:endnote w:id="38">
    <w:p w:rsidR="00304503" w:rsidRPr="00334D55" w:rsidRDefault="00304503" w:rsidP="00304503">
      <w:pPr>
        <w:pStyle w:val="EndnoteText"/>
        <w:jc w:val="both"/>
        <w:rPr>
          <w:sz w:val="18"/>
          <w:szCs w:val="18"/>
        </w:rPr>
      </w:pPr>
    </w:p>
  </w:endnote>
  <w:endnote w:id="39">
    <w:p w:rsidR="00304503" w:rsidRPr="00CC60A4" w:rsidRDefault="00304503" w:rsidP="00304503">
      <w:pPr>
        <w:pStyle w:val="EndnoteText"/>
        <w:jc w:val="both"/>
        <w:rPr>
          <w:sz w:val="18"/>
          <w:szCs w:val="18"/>
        </w:rPr>
      </w:pPr>
    </w:p>
  </w:endnote>
  <w:endnote w:id="40">
    <w:p w:rsidR="00304503" w:rsidRPr="00CC60A4" w:rsidRDefault="00304503" w:rsidP="00304503">
      <w:pPr>
        <w:pStyle w:val="EndnoteText"/>
        <w:jc w:val="both"/>
        <w:rPr>
          <w:sz w:val="18"/>
          <w:szCs w:val="18"/>
        </w:rPr>
      </w:pPr>
    </w:p>
  </w:endnote>
  <w:endnote w:id="41">
    <w:p w:rsidR="00304503" w:rsidRPr="000D0B8F" w:rsidRDefault="00304503" w:rsidP="00304503">
      <w:pPr>
        <w:pStyle w:val="EndnoteText"/>
        <w:jc w:val="both"/>
        <w:rPr>
          <w:sz w:val="18"/>
          <w:szCs w:val="18"/>
        </w:rPr>
      </w:pPr>
    </w:p>
  </w:endnote>
  <w:endnote w:id="42">
    <w:p w:rsidR="00304503" w:rsidRPr="00CC60A4" w:rsidRDefault="00304503" w:rsidP="00304503">
      <w:pPr>
        <w:pStyle w:val="EndnoteText"/>
        <w:jc w:val="both"/>
        <w:rPr>
          <w:sz w:val="18"/>
          <w:szCs w:val="18"/>
        </w:rPr>
      </w:pPr>
    </w:p>
  </w:endnote>
  <w:endnote w:id="43">
    <w:p w:rsidR="00304503" w:rsidRPr="000D0B8F" w:rsidRDefault="00304503" w:rsidP="00304503">
      <w:pPr>
        <w:pStyle w:val="EndnoteText"/>
        <w:jc w:val="both"/>
        <w:rPr>
          <w:sz w:val="18"/>
          <w:szCs w:val="18"/>
        </w:rPr>
      </w:pPr>
    </w:p>
  </w:endnote>
  <w:endnote w:id="44">
    <w:p w:rsidR="00304503" w:rsidRPr="000D0B8F" w:rsidRDefault="00304503" w:rsidP="00304503">
      <w:pPr>
        <w:pStyle w:val="EndnoteText"/>
        <w:jc w:val="both"/>
        <w:rPr>
          <w:sz w:val="18"/>
          <w:szCs w:val="18"/>
        </w:rPr>
      </w:pPr>
    </w:p>
  </w:endnote>
  <w:endnote w:id="45">
    <w:p w:rsidR="00304503" w:rsidRPr="00CC60A4" w:rsidRDefault="00304503" w:rsidP="00304503">
      <w:pPr>
        <w:pStyle w:val="EndnoteText"/>
        <w:jc w:val="both"/>
        <w:rPr>
          <w:sz w:val="18"/>
          <w:szCs w:val="18"/>
        </w:rPr>
      </w:pPr>
    </w:p>
  </w:endnote>
  <w:endnote w:id="46">
    <w:p w:rsidR="00304503" w:rsidRPr="00CC60A4" w:rsidRDefault="00304503" w:rsidP="00304503">
      <w:pPr>
        <w:pStyle w:val="EndnoteText"/>
        <w:jc w:val="both"/>
        <w:rPr>
          <w:sz w:val="18"/>
          <w:szCs w:val="18"/>
        </w:rPr>
      </w:pPr>
    </w:p>
  </w:endnote>
  <w:endnote w:id="47">
    <w:p w:rsidR="00304503" w:rsidRPr="000D0B8F" w:rsidRDefault="00304503" w:rsidP="00304503">
      <w:pPr>
        <w:pStyle w:val="EndnoteText"/>
        <w:jc w:val="both"/>
        <w:rPr>
          <w:sz w:val="18"/>
          <w:szCs w:val="18"/>
        </w:rPr>
      </w:pPr>
    </w:p>
  </w:endnote>
  <w:endnote w:id="48">
    <w:p w:rsidR="00304503" w:rsidRPr="00334D55" w:rsidRDefault="00304503" w:rsidP="00304503">
      <w:pPr>
        <w:pStyle w:val="EndnoteText"/>
        <w:jc w:val="both"/>
        <w:rPr>
          <w:sz w:val="18"/>
          <w:szCs w:val="18"/>
        </w:rPr>
      </w:pPr>
    </w:p>
  </w:endnote>
  <w:endnote w:id="49">
    <w:p w:rsidR="00304503" w:rsidRPr="00334D55" w:rsidRDefault="00304503" w:rsidP="00304503">
      <w:pPr>
        <w:pStyle w:val="EndnoteText"/>
        <w:jc w:val="both"/>
        <w:rPr>
          <w:sz w:val="18"/>
          <w:szCs w:val="18"/>
        </w:rPr>
      </w:pPr>
    </w:p>
  </w:endnote>
  <w:endnote w:id="50">
    <w:p w:rsidR="00304503" w:rsidRPr="00974EFC" w:rsidRDefault="00304503" w:rsidP="00304503">
      <w:pPr>
        <w:pStyle w:val="EndnoteText"/>
        <w:jc w:val="both"/>
        <w:rPr>
          <w:sz w:val="18"/>
          <w:szCs w:val="18"/>
        </w:rPr>
      </w:pPr>
    </w:p>
  </w:endnote>
  <w:endnote w:id="51">
    <w:p w:rsidR="00304503" w:rsidRPr="00334D55" w:rsidRDefault="00304503" w:rsidP="00304503">
      <w:pPr>
        <w:pStyle w:val="EndnoteText"/>
        <w:jc w:val="both"/>
        <w:rPr>
          <w:sz w:val="18"/>
          <w:szCs w:val="18"/>
        </w:rPr>
      </w:pPr>
    </w:p>
  </w:endnote>
  <w:endnote w:id="52">
    <w:p w:rsidR="00304503" w:rsidRPr="00334D55" w:rsidRDefault="00304503" w:rsidP="00304503">
      <w:pPr>
        <w:pStyle w:val="EndnoteText"/>
        <w:jc w:val="both"/>
        <w:rPr>
          <w:sz w:val="18"/>
          <w:szCs w:val="18"/>
        </w:rPr>
      </w:pPr>
    </w:p>
  </w:endnote>
  <w:endnote w:id="53">
    <w:p w:rsidR="00304503" w:rsidRPr="00334D55" w:rsidRDefault="00304503" w:rsidP="00304503">
      <w:pPr>
        <w:pStyle w:val="EndnoteText"/>
        <w:jc w:val="both"/>
        <w:rPr>
          <w:sz w:val="18"/>
          <w:szCs w:val="18"/>
        </w:rPr>
      </w:pPr>
    </w:p>
  </w:endnote>
  <w:endnote w:id="54">
    <w:p w:rsidR="00304503" w:rsidRPr="00974EFC" w:rsidRDefault="00304503" w:rsidP="00304503">
      <w:pPr>
        <w:pStyle w:val="EndnoteText"/>
        <w:jc w:val="both"/>
        <w:rPr>
          <w:sz w:val="18"/>
          <w:szCs w:val="18"/>
        </w:rPr>
      </w:pPr>
    </w:p>
  </w:endnote>
  <w:endnote w:id="55">
    <w:p w:rsidR="00304503" w:rsidRPr="00334D55" w:rsidRDefault="00304503" w:rsidP="00304503">
      <w:pPr>
        <w:pStyle w:val="EndnoteText"/>
        <w:jc w:val="both"/>
        <w:rPr>
          <w:sz w:val="18"/>
          <w:szCs w:val="18"/>
        </w:rPr>
      </w:pPr>
    </w:p>
  </w:endnote>
  <w:endnote w:id="56">
    <w:p w:rsidR="00304503" w:rsidRPr="005B4F82" w:rsidRDefault="00304503" w:rsidP="00304503">
      <w:pPr>
        <w:pStyle w:val="EndnoteText"/>
        <w:jc w:val="both"/>
        <w:rPr>
          <w:sz w:val="18"/>
          <w:szCs w:val="18"/>
        </w:rPr>
      </w:pPr>
    </w:p>
  </w:endnote>
  <w:endnote w:id="57">
    <w:p w:rsidR="00304503" w:rsidRPr="00334D55" w:rsidRDefault="00304503" w:rsidP="00304503">
      <w:pPr>
        <w:pStyle w:val="EndnoteText"/>
        <w:jc w:val="both"/>
        <w:rPr>
          <w:sz w:val="18"/>
          <w:szCs w:val="18"/>
        </w:rPr>
      </w:pPr>
    </w:p>
  </w:endnote>
  <w:endnote w:id="58">
    <w:p w:rsidR="00304503" w:rsidRPr="00334D55" w:rsidRDefault="00304503" w:rsidP="00304503">
      <w:pPr>
        <w:pStyle w:val="EndnoteText"/>
        <w:jc w:val="both"/>
        <w:rPr>
          <w:sz w:val="18"/>
          <w:szCs w:val="18"/>
        </w:rPr>
      </w:pPr>
    </w:p>
  </w:endnote>
  <w:endnote w:id="59">
    <w:p w:rsidR="00304503" w:rsidRPr="00334D55" w:rsidRDefault="00304503" w:rsidP="00304503">
      <w:pPr>
        <w:pStyle w:val="EndnoteText"/>
        <w:jc w:val="both"/>
        <w:rPr>
          <w:sz w:val="18"/>
          <w:szCs w:val="18"/>
        </w:rPr>
      </w:pPr>
    </w:p>
  </w:endnote>
  <w:endnote w:id="60">
    <w:p w:rsidR="00304503" w:rsidRPr="00334D55" w:rsidRDefault="00304503" w:rsidP="00304503">
      <w:pPr>
        <w:pStyle w:val="EndnoteText"/>
        <w:jc w:val="both"/>
        <w:rPr>
          <w:sz w:val="18"/>
          <w:szCs w:val="18"/>
        </w:rPr>
      </w:pPr>
    </w:p>
  </w:endnote>
  <w:endnote w:id="61">
    <w:p w:rsidR="00304503" w:rsidRPr="00334D55" w:rsidRDefault="00304503" w:rsidP="00304503">
      <w:pPr>
        <w:pStyle w:val="EndnoteText"/>
        <w:jc w:val="both"/>
        <w:rPr>
          <w:sz w:val="18"/>
          <w:szCs w:val="18"/>
        </w:rPr>
      </w:pPr>
    </w:p>
  </w:endnote>
  <w:endnote w:id="62">
    <w:p w:rsidR="00304503" w:rsidRPr="00334D55" w:rsidRDefault="00304503" w:rsidP="00304503">
      <w:pPr>
        <w:pStyle w:val="EndnoteText"/>
        <w:jc w:val="both"/>
        <w:rPr>
          <w:sz w:val="18"/>
          <w:szCs w:val="18"/>
        </w:rPr>
      </w:pPr>
    </w:p>
  </w:endnote>
  <w:endnote w:id="63">
    <w:p w:rsidR="00304503" w:rsidRPr="00334D55" w:rsidRDefault="00304503" w:rsidP="00304503">
      <w:pPr>
        <w:pStyle w:val="EndnoteText"/>
        <w:jc w:val="both"/>
        <w:rPr>
          <w:sz w:val="18"/>
          <w:szCs w:val="18"/>
        </w:rPr>
      </w:pPr>
    </w:p>
  </w:endnote>
  <w:endnote w:id="64">
    <w:p w:rsidR="00304503" w:rsidRPr="00334D55" w:rsidRDefault="00304503" w:rsidP="00304503">
      <w:pPr>
        <w:pStyle w:val="EndnoteText"/>
        <w:jc w:val="both"/>
        <w:rPr>
          <w:sz w:val="18"/>
          <w:szCs w:val="18"/>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rebuchet MS">
    <w:altName w:val="Trebuchet MS"/>
    <w:panose1 w:val="020B0603020202020204"/>
    <w:charset w:val="00"/>
    <w:family w:val="swiss"/>
    <w:pitch w:val="variable"/>
    <w:sig w:usb0="00000287" w:usb1="00000000" w:usb2="00000000" w:usb3="00000000" w:csb0="0000009F" w:csb1="00000000"/>
  </w:font>
  <w:font w:name="Arabic Typesetting">
    <w:altName w:val="Courier New"/>
    <w:charset w:val="00"/>
    <w:family w:val="script"/>
    <w:pitch w:val="variable"/>
    <w:sig w:usb0="00000000"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302" w:type="pct"/>
      <w:tblInd w:w="115" w:type="dxa"/>
      <w:tblCellMar>
        <w:top w:w="72" w:type="dxa"/>
        <w:left w:w="115" w:type="dxa"/>
        <w:bottom w:w="72" w:type="dxa"/>
        <w:right w:w="115" w:type="dxa"/>
      </w:tblCellMar>
      <w:tblLook w:val="04A0"/>
    </w:tblPr>
    <w:tblGrid>
      <w:gridCol w:w="2410"/>
    </w:tblGrid>
    <w:tr w:rsidR="005F21E9" w:rsidRPr="00B57E8E" w:rsidTr="00D360FB">
      <w:tc>
        <w:tcPr>
          <w:tcW w:w="5000" w:type="pct"/>
        </w:tcPr>
        <w:p w:rsidR="005F21E9" w:rsidRPr="00B445CC" w:rsidRDefault="00C10BA2" w:rsidP="00D360FB">
          <w:pPr>
            <w:pStyle w:val="Footer"/>
            <w:rPr>
              <w:rFonts w:ascii="Times New Roman" w:hAnsi="Times New Roman" w:cs="Times New Roman"/>
              <w:b/>
              <w:lang w:val="id-ID"/>
            </w:rPr>
          </w:pPr>
          <w:r w:rsidRPr="00B57E8E">
            <w:rPr>
              <w:rFonts w:ascii="Times New Roman" w:hAnsi="Times New Roman" w:cs="Times New Roman"/>
              <w:sz w:val="20"/>
            </w:rPr>
            <w:fldChar w:fldCharType="begin"/>
          </w:r>
          <w:r w:rsidR="005F21E9" w:rsidRPr="00B57E8E">
            <w:rPr>
              <w:rFonts w:ascii="Times New Roman" w:hAnsi="Times New Roman" w:cs="Times New Roman"/>
              <w:sz w:val="20"/>
            </w:rPr>
            <w:instrText xml:space="preserve"> PAGE   \* MERGEFORMAT </w:instrText>
          </w:r>
          <w:r w:rsidRPr="00B57E8E">
            <w:rPr>
              <w:rFonts w:ascii="Times New Roman" w:hAnsi="Times New Roman" w:cs="Times New Roman"/>
              <w:sz w:val="20"/>
            </w:rPr>
            <w:fldChar w:fldCharType="separate"/>
          </w:r>
          <w:r w:rsidR="00FC0F56">
            <w:rPr>
              <w:rFonts w:ascii="Times New Roman" w:hAnsi="Times New Roman" w:cs="Times New Roman"/>
              <w:noProof/>
              <w:sz w:val="20"/>
            </w:rPr>
            <w:t>vi</w:t>
          </w:r>
          <w:r w:rsidRPr="00B57E8E">
            <w:rPr>
              <w:rFonts w:ascii="Times New Roman" w:hAnsi="Times New Roman" w:cs="Times New Roman"/>
              <w:sz w:val="20"/>
            </w:rPr>
            <w:fldChar w:fldCharType="end"/>
          </w:r>
          <w:r w:rsidR="005F21E9">
            <w:rPr>
              <w:rFonts w:ascii="Times New Roman" w:hAnsi="Times New Roman" w:cs="Times New Roman"/>
              <w:sz w:val="20"/>
              <w:lang w:val="id-ID"/>
            </w:rPr>
            <w:t xml:space="preserve"> │EDUCATION</w:t>
          </w:r>
        </w:p>
      </w:tc>
    </w:tr>
  </w:tbl>
  <w:p w:rsidR="005F21E9" w:rsidRPr="00CA55F8" w:rsidRDefault="005F21E9" w:rsidP="00CA55F8">
    <w:pPr>
      <w:pStyle w:val="Foote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1E9" w:rsidRPr="00B57E8E" w:rsidRDefault="005F21E9" w:rsidP="00D360FB">
    <w:pPr>
      <w:pStyle w:val="Footer"/>
      <w:rPr>
        <w:b/>
        <w:lang w:val="id-ID"/>
      </w:rPr>
    </w:pPr>
  </w:p>
  <w:tbl>
    <w:tblPr>
      <w:tblW w:w="4938" w:type="pct"/>
      <w:tblInd w:w="115" w:type="dxa"/>
      <w:tblCellMar>
        <w:top w:w="72" w:type="dxa"/>
        <w:left w:w="115" w:type="dxa"/>
        <w:bottom w:w="72" w:type="dxa"/>
        <w:right w:w="115" w:type="dxa"/>
      </w:tblCellMar>
      <w:tblLook w:val="04A0"/>
    </w:tblPr>
    <w:tblGrid>
      <w:gridCol w:w="2410"/>
      <w:gridCol w:w="6731"/>
    </w:tblGrid>
    <w:tr w:rsidR="005F21E9" w:rsidRPr="00B57E8E" w:rsidTr="00D360FB">
      <w:tc>
        <w:tcPr>
          <w:tcW w:w="1318" w:type="pct"/>
        </w:tcPr>
        <w:p w:rsidR="005F21E9" w:rsidRPr="00B445CC" w:rsidRDefault="005F21E9" w:rsidP="00D360FB">
          <w:pPr>
            <w:pStyle w:val="Footer"/>
            <w:jc w:val="center"/>
            <w:rPr>
              <w:rFonts w:ascii="Times New Roman" w:hAnsi="Times New Roman" w:cs="Times New Roman"/>
              <w:b/>
              <w:lang w:val="id-ID"/>
            </w:rPr>
          </w:pPr>
        </w:p>
      </w:tc>
      <w:tc>
        <w:tcPr>
          <w:tcW w:w="3682" w:type="pct"/>
          <w:shd w:val="clear" w:color="auto" w:fill="auto"/>
        </w:tcPr>
        <w:p w:rsidR="005F21E9" w:rsidRPr="00B57E8E" w:rsidRDefault="00C10BA2" w:rsidP="00D360FB">
          <w:pPr>
            <w:pStyle w:val="Header"/>
            <w:jc w:val="right"/>
            <w:rPr>
              <w:rFonts w:ascii="Times New Roman" w:hAnsi="Times New Roman" w:cs="Times New Roman"/>
              <w:lang w:val="id-ID"/>
            </w:rPr>
          </w:pPr>
          <w:r w:rsidRPr="00B57E8E">
            <w:rPr>
              <w:rFonts w:ascii="Times New Roman" w:hAnsi="Times New Roman" w:cs="Times New Roman"/>
              <w:sz w:val="20"/>
            </w:rPr>
            <w:fldChar w:fldCharType="begin"/>
          </w:r>
          <w:r w:rsidR="005F21E9" w:rsidRPr="00B57E8E">
            <w:rPr>
              <w:rFonts w:ascii="Times New Roman" w:hAnsi="Times New Roman" w:cs="Times New Roman"/>
              <w:sz w:val="20"/>
            </w:rPr>
            <w:instrText xml:space="preserve"> PAGE   \* MERGEFORMAT </w:instrText>
          </w:r>
          <w:r w:rsidRPr="00B57E8E">
            <w:rPr>
              <w:rFonts w:ascii="Times New Roman" w:hAnsi="Times New Roman" w:cs="Times New Roman"/>
              <w:sz w:val="20"/>
            </w:rPr>
            <w:fldChar w:fldCharType="separate"/>
          </w:r>
          <w:r w:rsidR="00FC0F56">
            <w:rPr>
              <w:rFonts w:ascii="Times New Roman" w:hAnsi="Times New Roman" w:cs="Times New Roman"/>
              <w:noProof/>
              <w:sz w:val="20"/>
            </w:rPr>
            <w:t>v</w:t>
          </w:r>
          <w:r w:rsidRPr="00B57E8E">
            <w:rPr>
              <w:rFonts w:ascii="Times New Roman" w:hAnsi="Times New Roman" w:cs="Times New Roman"/>
              <w:sz w:val="20"/>
            </w:rPr>
            <w:fldChar w:fldCharType="end"/>
          </w:r>
          <w:r w:rsidR="005F21E9" w:rsidRPr="00B57E8E">
            <w:rPr>
              <w:rFonts w:ascii="Times New Roman" w:hAnsi="Times New Roman" w:cs="Times New Roman"/>
              <w:sz w:val="20"/>
              <w:lang w:val="id-ID"/>
            </w:rPr>
            <w:t xml:space="preserve"> │E</w:t>
          </w:r>
          <w:r w:rsidR="005F21E9">
            <w:rPr>
              <w:rFonts w:ascii="Times New Roman" w:hAnsi="Times New Roman" w:cs="Times New Roman"/>
              <w:sz w:val="20"/>
              <w:lang w:val="id-ID"/>
            </w:rPr>
            <w:t>DUCATION</w:t>
          </w:r>
        </w:p>
      </w:tc>
    </w:tr>
  </w:tbl>
  <w:p w:rsidR="005F21E9" w:rsidRPr="00D360FB" w:rsidRDefault="005F21E9" w:rsidP="00D360FB">
    <w:pPr>
      <w:pStyle w:val="Footer"/>
      <w:rPr>
        <w:lang w:val="id-ID"/>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6B11" w:rsidRPr="00B57E8E" w:rsidRDefault="005D6B11" w:rsidP="005D6B11">
    <w:pPr>
      <w:pStyle w:val="Footer"/>
      <w:rPr>
        <w:b/>
        <w:lang w:val="id-ID"/>
      </w:rPr>
    </w:pPr>
  </w:p>
  <w:tbl>
    <w:tblPr>
      <w:tblW w:w="4938" w:type="pct"/>
      <w:tblInd w:w="115" w:type="dxa"/>
      <w:tblCellMar>
        <w:top w:w="72" w:type="dxa"/>
        <w:left w:w="115" w:type="dxa"/>
        <w:bottom w:w="72" w:type="dxa"/>
        <w:right w:w="115" w:type="dxa"/>
      </w:tblCellMar>
      <w:tblLook w:val="04A0"/>
    </w:tblPr>
    <w:tblGrid>
      <w:gridCol w:w="2410"/>
      <w:gridCol w:w="6731"/>
    </w:tblGrid>
    <w:tr w:rsidR="005D6B11" w:rsidRPr="00B57E8E" w:rsidTr="003D0A78">
      <w:tc>
        <w:tcPr>
          <w:tcW w:w="1318" w:type="pct"/>
        </w:tcPr>
        <w:p w:rsidR="005D6B11" w:rsidRPr="00B445CC" w:rsidRDefault="005D6B11" w:rsidP="003D0A78">
          <w:pPr>
            <w:pStyle w:val="Footer"/>
            <w:jc w:val="center"/>
            <w:rPr>
              <w:rFonts w:ascii="Times New Roman" w:hAnsi="Times New Roman" w:cs="Times New Roman"/>
              <w:b/>
              <w:lang w:val="id-ID"/>
            </w:rPr>
          </w:pPr>
        </w:p>
      </w:tc>
      <w:tc>
        <w:tcPr>
          <w:tcW w:w="3682" w:type="pct"/>
          <w:shd w:val="clear" w:color="auto" w:fill="auto"/>
        </w:tcPr>
        <w:p w:rsidR="005D6B11" w:rsidRPr="00B57E8E" w:rsidRDefault="00C10BA2" w:rsidP="003D0A78">
          <w:pPr>
            <w:pStyle w:val="Header"/>
            <w:jc w:val="right"/>
            <w:rPr>
              <w:rFonts w:ascii="Times New Roman" w:hAnsi="Times New Roman" w:cs="Times New Roman"/>
              <w:lang w:val="id-ID"/>
            </w:rPr>
          </w:pPr>
          <w:r w:rsidRPr="00B57E8E">
            <w:rPr>
              <w:rFonts w:ascii="Times New Roman" w:hAnsi="Times New Roman" w:cs="Times New Roman"/>
              <w:sz w:val="20"/>
            </w:rPr>
            <w:fldChar w:fldCharType="begin"/>
          </w:r>
          <w:r w:rsidR="005D6B11" w:rsidRPr="00B57E8E">
            <w:rPr>
              <w:rFonts w:ascii="Times New Roman" w:hAnsi="Times New Roman" w:cs="Times New Roman"/>
              <w:sz w:val="20"/>
            </w:rPr>
            <w:instrText xml:space="preserve"> PAGE   \* MERGEFORMAT </w:instrText>
          </w:r>
          <w:r w:rsidRPr="00B57E8E">
            <w:rPr>
              <w:rFonts w:ascii="Times New Roman" w:hAnsi="Times New Roman" w:cs="Times New Roman"/>
              <w:sz w:val="20"/>
            </w:rPr>
            <w:fldChar w:fldCharType="separate"/>
          </w:r>
          <w:r w:rsidR="00FC0F56">
            <w:rPr>
              <w:rFonts w:ascii="Times New Roman" w:hAnsi="Times New Roman" w:cs="Times New Roman"/>
              <w:noProof/>
              <w:sz w:val="20"/>
            </w:rPr>
            <w:t>127</w:t>
          </w:r>
          <w:r w:rsidRPr="00B57E8E">
            <w:rPr>
              <w:rFonts w:ascii="Times New Roman" w:hAnsi="Times New Roman" w:cs="Times New Roman"/>
              <w:sz w:val="20"/>
            </w:rPr>
            <w:fldChar w:fldCharType="end"/>
          </w:r>
          <w:r w:rsidR="005D6B11" w:rsidRPr="00B57E8E">
            <w:rPr>
              <w:rFonts w:ascii="Times New Roman" w:hAnsi="Times New Roman" w:cs="Times New Roman"/>
              <w:sz w:val="20"/>
              <w:lang w:val="id-ID"/>
            </w:rPr>
            <w:t xml:space="preserve"> │E</w:t>
          </w:r>
          <w:r w:rsidR="005D6B11">
            <w:rPr>
              <w:rFonts w:ascii="Times New Roman" w:hAnsi="Times New Roman" w:cs="Times New Roman"/>
              <w:sz w:val="20"/>
              <w:lang w:val="id-ID"/>
            </w:rPr>
            <w:t>DUCATION</w:t>
          </w:r>
        </w:p>
      </w:tc>
    </w:tr>
  </w:tbl>
  <w:p w:rsidR="005F21E9" w:rsidRPr="005D6B11" w:rsidRDefault="005F21E9">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03DB" w:rsidRPr="004A1863" w:rsidRDefault="008903DB" w:rsidP="004E6830">
      <w:pPr>
        <w:spacing w:before="0" w:after="0"/>
      </w:pPr>
      <w:r>
        <w:separator/>
      </w:r>
    </w:p>
  </w:footnote>
  <w:footnote w:type="continuationSeparator" w:id="1">
    <w:p w:rsidR="008903DB" w:rsidRPr="004A1863" w:rsidRDefault="008903DB" w:rsidP="004E6830">
      <w:pPr>
        <w:spacing w:before="0" w:after="0"/>
      </w:pPr>
      <w:r>
        <w:continuationSeparator/>
      </w:r>
    </w:p>
  </w:footnote>
  <w:footnote w:id="2">
    <w:p w:rsidR="00304503" w:rsidRDefault="00304503">
      <w:pPr>
        <w:pStyle w:val="FootnoteText"/>
      </w:pPr>
      <w:r>
        <w:rPr>
          <w:rStyle w:val="FootnoteReference"/>
        </w:rPr>
        <w:footnoteRef/>
      </w:r>
      <w:r>
        <w:t xml:space="preserve"> </w:t>
      </w:r>
      <w:r w:rsidRPr="003D55F6">
        <w:rPr>
          <w:rFonts w:ascii="Times New Roman" w:hAnsi="Times New Roman" w:cs="Times New Roman"/>
          <w:sz w:val="18"/>
          <w:szCs w:val="18"/>
        </w:rPr>
        <w:t xml:space="preserve">Corresponding Author. </w:t>
      </w:r>
      <w:r w:rsidRPr="003D55F6">
        <w:rPr>
          <w:rFonts w:ascii="Times New Roman" w:hAnsi="Times New Roman" w:cs="Times New Roman"/>
          <w:i/>
          <w:sz w:val="18"/>
          <w:szCs w:val="18"/>
        </w:rPr>
        <w:t>E-Mail Address</w:t>
      </w:r>
      <w:r w:rsidRPr="003D55F6">
        <w:rPr>
          <w:rFonts w:ascii="Times New Roman" w:hAnsi="Times New Roman" w:cs="Times New Roman"/>
          <w:sz w:val="18"/>
          <w:szCs w:val="18"/>
        </w:rPr>
        <w:t>:</w:t>
      </w:r>
      <w:r w:rsidRPr="003D55F6">
        <w:rPr>
          <w:rFonts w:ascii="Times New Roman" w:hAnsi="Times New Roman" w:cs="Times New Roman"/>
          <w:sz w:val="18"/>
          <w:szCs w:val="18"/>
          <w:vertAlign w:val="superscript"/>
        </w:rPr>
        <w:t xml:space="preserve"> </w:t>
      </w:r>
      <w:hyperlink r:id="rId1" w:history="1">
        <w:r w:rsidRPr="0085075E">
          <w:rPr>
            <w:rStyle w:val="Hyperlink"/>
            <w:rFonts w:ascii="Times New Roman" w:hAnsi="Times New Roman" w:cs="Times New Roman"/>
            <w:sz w:val="18"/>
            <w:szCs w:val="18"/>
            <w:lang w:val="en-GB"/>
          </w:rPr>
          <w:t>muhajirin_uin@radenfatah.ac.id</w:t>
        </w:r>
      </w:hyperlink>
      <w:r>
        <w:rPr>
          <w:rFonts w:ascii="Times New Roman" w:hAnsi="Times New Roman" w:cs="Times New Roman"/>
          <w:sz w:val="18"/>
          <w:szCs w:val="18"/>
          <w:lang w:val="en-GB"/>
        </w:rPr>
        <w:t xml:space="preserve"> </w:t>
      </w:r>
    </w:p>
  </w:footnote>
  <w:footnote w:id="3">
    <w:p w:rsidR="00304503" w:rsidRDefault="00304503">
      <w:pPr>
        <w:pStyle w:val="FootnoteText"/>
      </w:pPr>
      <w:r>
        <w:rPr>
          <w:rStyle w:val="FootnoteReference"/>
        </w:rPr>
        <w:footnoteRef/>
      </w:r>
      <w:r>
        <w:t xml:space="preserve"> </w:t>
      </w:r>
      <w:r w:rsidRPr="003D55F6">
        <w:rPr>
          <w:rFonts w:ascii="Times New Roman" w:hAnsi="Times New Roman" w:cs="Times New Roman"/>
          <w:sz w:val="18"/>
          <w:szCs w:val="18"/>
        </w:rPr>
        <w:t xml:space="preserve">Corresponding Author. </w:t>
      </w:r>
      <w:r w:rsidRPr="003D55F6">
        <w:rPr>
          <w:rFonts w:ascii="Times New Roman" w:hAnsi="Times New Roman" w:cs="Times New Roman"/>
          <w:i/>
          <w:sz w:val="18"/>
          <w:szCs w:val="18"/>
        </w:rPr>
        <w:t>E-Mail Address</w:t>
      </w:r>
      <w:r w:rsidRPr="003D55F6">
        <w:rPr>
          <w:rFonts w:ascii="Times New Roman" w:hAnsi="Times New Roman" w:cs="Times New Roman"/>
          <w:sz w:val="18"/>
          <w:szCs w:val="18"/>
        </w:rPr>
        <w:t>:</w:t>
      </w:r>
      <w:r w:rsidRPr="003D55F6">
        <w:rPr>
          <w:rFonts w:ascii="Times New Roman" w:hAnsi="Times New Roman" w:cs="Times New Roman"/>
          <w:sz w:val="18"/>
          <w:szCs w:val="18"/>
          <w:vertAlign w:val="superscript"/>
        </w:rPr>
        <w:t xml:space="preserve"> </w:t>
      </w:r>
      <w:r>
        <w:rPr>
          <w:rFonts w:ascii="Times New Roman" w:hAnsi="Times New Roman" w:cs="Times New Roman"/>
          <w:sz w:val="18"/>
          <w:szCs w:val="18"/>
          <w:lang w:val="en-GB"/>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866"/>
    </w:tblGrid>
    <w:tr w:rsidR="005F21E9" w:rsidTr="00181356">
      <w:tc>
        <w:tcPr>
          <w:tcW w:w="2268" w:type="dxa"/>
          <w:shd w:val="clear" w:color="auto" w:fill="000000" w:themeFill="text1"/>
          <w:vAlign w:val="center"/>
        </w:tcPr>
        <w:p w:rsidR="005F21E9" w:rsidRPr="004A784B" w:rsidRDefault="005F21E9" w:rsidP="00181356">
          <w:pPr>
            <w:pStyle w:val="Default"/>
            <w:ind w:right="-141"/>
            <w:jc w:val="both"/>
            <w:rPr>
              <w:color w:val="FFFFFF" w:themeColor="background1"/>
              <w:vertAlign w:val="superscript"/>
              <w:lang w:val="id-ID"/>
            </w:rPr>
          </w:pPr>
          <w:r w:rsidRPr="004A784B">
            <w:rPr>
              <w:color w:val="FFFFFF" w:themeColor="background1"/>
              <w:lang w:val="id-ID"/>
            </w:rPr>
            <w:t>THE 1</w:t>
          </w:r>
          <w:r w:rsidRPr="004A784B">
            <w:rPr>
              <w:color w:val="FFFFFF" w:themeColor="background1"/>
              <w:vertAlign w:val="superscript"/>
              <w:lang w:val="id-ID"/>
            </w:rPr>
            <w:t xml:space="preserve">st </w:t>
          </w:r>
          <w:r>
            <w:rPr>
              <w:color w:val="FFFFFF" w:themeColor="background1"/>
              <w:lang w:val="id-ID"/>
            </w:rPr>
            <w:t>ICONLEE</w:t>
          </w:r>
        </w:p>
      </w:tc>
      <w:tc>
        <w:tcPr>
          <w:tcW w:w="6866" w:type="dxa"/>
        </w:tcPr>
        <w:p w:rsidR="005F21E9" w:rsidRPr="00BB356C" w:rsidRDefault="005F21E9" w:rsidP="00181356">
          <w:pPr>
            <w:pStyle w:val="Default"/>
            <w:ind w:right="-141"/>
            <w:rPr>
              <w:i/>
              <w:sz w:val="22"/>
              <w:szCs w:val="22"/>
              <w:lang w:val="id-ID"/>
            </w:rPr>
          </w:pPr>
          <w:r w:rsidRPr="00BB356C">
            <w:rPr>
              <w:i/>
              <w:sz w:val="22"/>
              <w:szCs w:val="22"/>
              <w:lang w:val="id-ID"/>
            </w:rPr>
            <w:t xml:space="preserve">The First </w:t>
          </w:r>
          <w:r w:rsidRPr="00BB356C">
            <w:rPr>
              <w:i/>
              <w:sz w:val="22"/>
              <w:szCs w:val="22"/>
            </w:rPr>
            <w:t>International Conference on Law, Economics and Education</w:t>
          </w:r>
        </w:p>
        <w:p w:rsidR="005F21E9" w:rsidRPr="00BB356C" w:rsidRDefault="005F21E9" w:rsidP="00181356">
          <w:pPr>
            <w:pStyle w:val="Default"/>
            <w:ind w:right="-141"/>
            <w:jc w:val="both"/>
            <w:rPr>
              <w:b w:val="0"/>
              <w:sz w:val="20"/>
              <w:lang w:val="id-ID"/>
            </w:rPr>
          </w:pPr>
          <w:r w:rsidRPr="00BB356C">
            <w:rPr>
              <w:i/>
              <w:sz w:val="22"/>
              <w:szCs w:val="22"/>
            </w:rPr>
            <w:t>Muhammadiyah University of Metro, Indonesia</w:t>
          </w:r>
        </w:p>
      </w:tc>
    </w:tr>
  </w:tbl>
  <w:p w:rsidR="005F21E9" w:rsidRPr="004A784B" w:rsidRDefault="005F21E9" w:rsidP="00CA55F8">
    <w:pPr>
      <w:spacing w:before="0" w:after="0"/>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Look w:val="04A0"/>
    </w:tblPr>
    <w:tblGrid>
      <w:gridCol w:w="2268"/>
      <w:gridCol w:w="6866"/>
    </w:tblGrid>
    <w:tr w:rsidR="005F21E9" w:rsidTr="00304503">
      <w:tc>
        <w:tcPr>
          <w:tcW w:w="2268" w:type="dxa"/>
          <w:shd w:val="clear" w:color="auto" w:fill="000000" w:themeFill="text1"/>
          <w:vAlign w:val="center"/>
        </w:tcPr>
        <w:p w:rsidR="005F21E9" w:rsidRPr="004A784B" w:rsidRDefault="005F21E9" w:rsidP="00D360FB">
          <w:pPr>
            <w:pStyle w:val="Default"/>
            <w:ind w:right="-141"/>
            <w:jc w:val="both"/>
            <w:rPr>
              <w:color w:val="FFFFFF" w:themeColor="background1"/>
              <w:vertAlign w:val="superscript"/>
              <w:lang w:val="id-ID"/>
            </w:rPr>
          </w:pPr>
          <w:r w:rsidRPr="004A784B">
            <w:rPr>
              <w:color w:val="FFFFFF" w:themeColor="background1"/>
              <w:lang w:val="id-ID"/>
            </w:rPr>
            <w:t>THE 1</w:t>
          </w:r>
          <w:r w:rsidRPr="004A784B">
            <w:rPr>
              <w:color w:val="FFFFFF" w:themeColor="background1"/>
              <w:vertAlign w:val="superscript"/>
              <w:lang w:val="id-ID"/>
            </w:rPr>
            <w:t xml:space="preserve">st </w:t>
          </w:r>
          <w:r>
            <w:rPr>
              <w:color w:val="FFFFFF" w:themeColor="background1"/>
              <w:lang w:val="id-ID"/>
            </w:rPr>
            <w:t>ICONLEE</w:t>
          </w:r>
        </w:p>
      </w:tc>
      <w:tc>
        <w:tcPr>
          <w:tcW w:w="6866" w:type="dxa"/>
        </w:tcPr>
        <w:p w:rsidR="005F21E9" w:rsidRPr="00BB356C" w:rsidRDefault="005F21E9" w:rsidP="00D360FB">
          <w:pPr>
            <w:pStyle w:val="Default"/>
            <w:ind w:right="-141"/>
            <w:rPr>
              <w:i/>
              <w:sz w:val="22"/>
              <w:szCs w:val="22"/>
              <w:lang w:val="id-ID"/>
            </w:rPr>
          </w:pPr>
          <w:r w:rsidRPr="00BB356C">
            <w:rPr>
              <w:i/>
              <w:sz w:val="22"/>
              <w:szCs w:val="22"/>
              <w:lang w:val="id-ID"/>
            </w:rPr>
            <w:t xml:space="preserve">The First </w:t>
          </w:r>
          <w:r w:rsidRPr="00BB356C">
            <w:rPr>
              <w:i/>
              <w:sz w:val="22"/>
              <w:szCs w:val="22"/>
            </w:rPr>
            <w:t>International Conference on Law, Economics and Education</w:t>
          </w:r>
        </w:p>
        <w:p w:rsidR="005F21E9" w:rsidRPr="00BB356C" w:rsidRDefault="005F21E9" w:rsidP="00D360FB">
          <w:pPr>
            <w:pStyle w:val="Default"/>
            <w:ind w:right="-141"/>
            <w:jc w:val="both"/>
            <w:rPr>
              <w:b w:val="0"/>
              <w:sz w:val="20"/>
              <w:lang w:val="id-ID"/>
            </w:rPr>
          </w:pPr>
          <w:r w:rsidRPr="00BB356C">
            <w:rPr>
              <w:i/>
              <w:sz w:val="22"/>
              <w:szCs w:val="22"/>
            </w:rPr>
            <w:t>Muhammadiyah University of Metro, Indonesia</w:t>
          </w:r>
        </w:p>
      </w:tc>
    </w:tr>
  </w:tbl>
  <w:p w:rsidR="005F21E9" w:rsidRPr="004A784B" w:rsidRDefault="005F21E9" w:rsidP="00304503">
    <w:pPr>
      <w:spacing w:before="0" w:after="0"/>
      <w:ind w:left="0"/>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68"/>
      <w:gridCol w:w="6866"/>
    </w:tblGrid>
    <w:tr w:rsidR="00304503" w:rsidTr="003D0A78">
      <w:tc>
        <w:tcPr>
          <w:tcW w:w="2268" w:type="dxa"/>
          <w:shd w:val="clear" w:color="auto" w:fill="000000" w:themeFill="text1"/>
          <w:vAlign w:val="center"/>
        </w:tcPr>
        <w:p w:rsidR="00304503" w:rsidRPr="004A784B" w:rsidRDefault="00304503" w:rsidP="003D0A78">
          <w:pPr>
            <w:pStyle w:val="Default"/>
            <w:ind w:right="-141"/>
            <w:jc w:val="both"/>
            <w:rPr>
              <w:color w:val="FFFFFF" w:themeColor="background1"/>
              <w:vertAlign w:val="superscript"/>
              <w:lang w:val="id-ID"/>
            </w:rPr>
          </w:pPr>
          <w:r w:rsidRPr="004A784B">
            <w:rPr>
              <w:color w:val="FFFFFF" w:themeColor="background1"/>
              <w:lang w:val="id-ID"/>
            </w:rPr>
            <w:t>THE 1</w:t>
          </w:r>
          <w:r w:rsidRPr="004A784B">
            <w:rPr>
              <w:color w:val="FFFFFF" w:themeColor="background1"/>
              <w:vertAlign w:val="superscript"/>
              <w:lang w:val="id-ID"/>
            </w:rPr>
            <w:t xml:space="preserve">st </w:t>
          </w:r>
          <w:r>
            <w:rPr>
              <w:color w:val="FFFFFF" w:themeColor="background1"/>
              <w:lang w:val="id-ID"/>
            </w:rPr>
            <w:t>ICONLEE</w:t>
          </w:r>
        </w:p>
      </w:tc>
      <w:tc>
        <w:tcPr>
          <w:tcW w:w="6866" w:type="dxa"/>
        </w:tcPr>
        <w:p w:rsidR="00304503" w:rsidRPr="00BB356C" w:rsidRDefault="00304503" w:rsidP="003D0A78">
          <w:pPr>
            <w:pStyle w:val="Default"/>
            <w:ind w:right="-141"/>
            <w:rPr>
              <w:i/>
              <w:sz w:val="22"/>
              <w:szCs w:val="22"/>
              <w:lang w:val="id-ID"/>
            </w:rPr>
          </w:pPr>
          <w:r w:rsidRPr="00BB356C">
            <w:rPr>
              <w:i/>
              <w:sz w:val="22"/>
              <w:szCs w:val="22"/>
              <w:lang w:val="id-ID"/>
            </w:rPr>
            <w:t xml:space="preserve">The First </w:t>
          </w:r>
          <w:r w:rsidRPr="00BB356C">
            <w:rPr>
              <w:i/>
              <w:sz w:val="22"/>
              <w:szCs w:val="22"/>
            </w:rPr>
            <w:t>International Conference on Law, Economics and Education</w:t>
          </w:r>
        </w:p>
        <w:p w:rsidR="00304503" w:rsidRPr="00BB356C" w:rsidRDefault="00304503" w:rsidP="003D0A78">
          <w:pPr>
            <w:pStyle w:val="Default"/>
            <w:ind w:right="-141"/>
            <w:jc w:val="both"/>
            <w:rPr>
              <w:b w:val="0"/>
              <w:sz w:val="20"/>
              <w:lang w:val="id-ID"/>
            </w:rPr>
          </w:pPr>
          <w:r w:rsidRPr="00BB356C">
            <w:rPr>
              <w:i/>
              <w:sz w:val="22"/>
              <w:szCs w:val="22"/>
            </w:rPr>
            <w:t>Muhammadiyah University of Metro, Indonesia</w:t>
          </w:r>
        </w:p>
      </w:tc>
    </w:tr>
  </w:tbl>
  <w:p w:rsidR="00304503" w:rsidRDefault="0030450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3D5E991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D534CA"/>
    <w:multiLevelType w:val="hybridMultilevel"/>
    <w:tmpl w:val="96666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4A0B88"/>
    <w:multiLevelType w:val="hybridMultilevel"/>
    <w:tmpl w:val="B24EDF9E"/>
    <w:lvl w:ilvl="0" w:tplc="0421000F">
      <w:start w:val="1"/>
      <w:numFmt w:val="decimal"/>
      <w:lvlText w:val="%1."/>
      <w:lvlJc w:val="left"/>
      <w:pPr>
        <w:ind w:left="720" w:hanging="360"/>
      </w:pPr>
      <w:rPr>
        <w:rFonts w:eastAsia="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0971C54"/>
    <w:multiLevelType w:val="hybridMultilevel"/>
    <w:tmpl w:val="E984F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032D5"/>
    <w:multiLevelType w:val="hybridMultilevel"/>
    <w:tmpl w:val="71D67A50"/>
    <w:lvl w:ilvl="0" w:tplc="4E4C4780">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
    <w:nsid w:val="1D6E3467"/>
    <w:multiLevelType w:val="hybridMultilevel"/>
    <w:tmpl w:val="220202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09413A8"/>
    <w:multiLevelType w:val="hybridMultilevel"/>
    <w:tmpl w:val="D6ECDCAE"/>
    <w:lvl w:ilvl="0" w:tplc="84E6F2EA">
      <w:start w:val="1"/>
      <w:numFmt w:val="decimal"/>
      <w:lvlText w:val="%1."/>
      <w:lvlJc w:val="left"/>
      <w:pPr>
        <w:ind w:left="720" w:hanging="360"/>
      </w:pPr>
      <w:rPr>
        <w:rFonts w:ascii="Arial Narrow" w:hAnsi="Arial Narrow"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063F9B"/>
    <w:multiLevelType w:val="hybridMultilevel"/>
    <w:tmpl w:val="B4B6601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AB85F67"/>
    <w:multiLevelType w:val="hybridMultilevel"/>
    <w:tmpl w:val="3970F334"/>
    <w:lvl w:ilvl="0" w:tplc="4E4C47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5126E3"/>
    <w:multiLevelType w:val="hybridMultilevel"/>
    <w:tmpl w:val="2A348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5C189C"/>
    <w:multiLevelType w:val="multilevel"/>
    <w:tmpl w:val="FA285D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56036B34"/>
    <w:multiLevelType w:val="hybridMultilevel"/>
    <w:tmpl w:val="281E4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0222098"/>
    <w:multiLevelType w:val="hybridMultilevel"/>
    <w:tmpl w:val="4C0AA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CBB6765"/>
    <w:multiLevelType w:val="hybridMultilevel"/>
    <w:tmpl w:val="324A94AA"/>
    <w:lvl w:ilvl="0" w:tplc="E9AE5098">
      <w:start w:val="1"/>
      <w:numFmt w:val="decimal"/>
      <w:pStyle w:val="TOC3"/>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7D1B582C"/>
    <w:multiLevelType w:val="hybridMultilevel"/>
    <w:tmpl w:val="1778D812"/>
    <w:lvl w:ilvl="0" w:tplc="9EC6BEE0">
      <w:start w:val="1"/>
      <w:numFmt w:val="decimal"/>
      <w:lvlText w:val="(%1)"/>
      <w:lvlJc w:val="left"/>
      <w:pPr>
        <w:ind w:left="1170" w:hanging="390"/>
      </w:pPr>
      <w:rPr>
        <w:rFonts w:cs="Times New Roman" w:hint="default"/>
      </w:rPr>
    </w:lvl>
    <w:lvl w:ilvl="1" w:tplc="04210019" w:tentative="1">
      <w:start w:val="1"/>
      <w:numFmt w:val="lowerLetter"/>
      <w:lvlText w:val="%2."/>
      <w:lvlJc w:val="left"/>
      <w:pPr>
        <w:ind w:left="1860" w:hanging="360"/>
      </w:pPr>
      <w:rPr>
        <w:rFonts w:cs="Times New Roman"/>
      </w:rPr>
    </w:lvl>
    <w:lvl w:ilvl="2" w:tplc="0421001B" w:tentative="1">
      <w:start w:val="1"/>
      <w:numFmt w:val="lowerRoman"/>
      <w:lvlText w:val="%3."/>
      <w:lvlJc w:val="right"/>
      <w:pPr>
        <w:ind w:left="2580" w:hanging="180"/>
      </w:pPr>
      <w:rPr>
        <w:rFonts w:cs="Times New Roman"/>
      </w:rPr>
    </w:lvl>
    <w:lvl w:ilvl="3" w:tplc="0421000F" w:tentative="1">
      <w:start w:val="1"/>
      <w:numFmt w:val="decimal"/>
      <w:lvlText w:val="%4."/>
      <w:lvlJc w:val="left"/>
      <w:pPr>
        <w:ind w:left="3300" w:hanging="360"/>
      </w:pPr>
      <w:rPr>
        <w:rFonts w:cs="Times New Roman"/>
      </w:rPr>
    </w:lvl>
    <w:lvl w:ilvl="4" w:tplc="04210019" w:tentative="1">
      <w:start w:val="1"/>
      <w:numFmt w:val="lowerLetter"/>
      <w:lvlText w:val="%5."/>
      <w:lvlJc w:val="left"/>
      <w:pPr>
        <w:ind w:left="4020" w:hanging="360"/>
      </w:pPr>
      <w:rPr>
        <w:rFonts w:cs="Times New Roman"/>
      </w:rPr>
    </w:lvl>
    <w:lvl w:ilvl="5" w:tplc="0421001B" w:tentative="1">
      <w:start w:val="1"/>
      <w:numFmt w:val="lowerRoman"/>
      <w:lvlText w:val="%6."/>
      <w:lvlJc w:val="right"/>
      <w:pPr>
        <w:ind w:left="4740" w:hanging="180"/>
      </w:pPr>
      <w:rPr>
        <w:rFonts w:cs="Times New Roman"/>
      </w:rPr>
    </w:lvl>
    <w:lvl w:ilvl="6" w:tplc="0421000F" w:tentative="1">
      <w:start w:val="1"/>
      <w:numFmt w:val="decimal"/>
      <w:lvlText w:val="%7."/>
      <w:lvlJc w:val="left"/>
      <w:pPr>
        <w:ind w:left="5460" w:hanging="360"/>
      </w:pPr>
      <w:rPr>
        <w:rFonts w:cs="Times New Roman"/>
      </w:rPr>
    </w:lvl>
    <w:lvl w:ilvl="7" w:tplc="04210019" w:tentative="1">
      <w:start w:val="1"/>
      <w:numFmt w:val="lowerLetter"/>
      <w:lvlText w:val="%8."/>
      <w:lvlJc w:val="left"/>
      <w:pPr>
        <w:ind w:left="6180" w:hanging="360"/>
      </w:pPr>
      <w:rPr>
        <w:rFonts w:cs="Times New Roman"/>
      </w:rPr>
    </w:lvl>
    <w:lvl w:ilvl="8" w:tplc="0421001B" w:tentative="1">
      <w:start w:val="1"/>
      <w:numFmt w:val="lowerRoman"/>
      <w:lvlText w:val="%9."/>
      <w:lvlJc w:val="right"/>
      <w:pPr>
        <w:ind w:left="6900" w:hanging="180"/>
      </w:pPr>
      <w:rPr>
        <w:rFonts w:cs="Times New Roman"/>
      </w:rPr>
    </w:lvl>
  </w:abstractNum>
  <w:num w:numId="1">
    <w:abstractNumId w:val="10"/>
  </w:num>
  <w:num w:numId="2">
    <w:abstractNumId w:val="13"/>
  </w:num>
  <w:num w:numId="3">
    <w:abstractNumId w:val="0"/>
  </w:num>
  <w:num w:numId="4">
    <w:abstractNumId w:val="2"/>
  </w:num>
  <w:num w:numId="5">
    <w:abstractNumId w:val="11"/>
  </w:num>
  <w:num w:numId="6">
    <w:abstractNumId w:val="9"/>
  </w:num>
  <w:num w:numId="7">
    <w:abstractNumId w:val="12"/>
  </w:num>
  <w:num w:numId="8">
    <w:abstractNumId w:val="1"/>
  </w:num>
  <w:num w:numId="9">
    <w:abstractNumId w:val="5"/>
  </w:num>
  <w:num w:numId="10">
    <w:abstractNumId w:val="3"/>
  </w:num>
  <w:num w:numId="11">
    <w:abstractNumId w:val="6"/>
  </w:num>
  <w:num w:numId="12">
    <w:abstractNumId w:val="7"/>
  </w:num>
  <w:num w:numId="13">
    <w:abstractNumId w:val="14"/>
  </w:num>
  <w:num w:numId="14">
    <w:abstractNumId w:val="4"/>
  </w:num>
  <w:num w:numId="15">
    <w:abstractNumId w:val="8"/>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SpellingErrors/>
  <w:defaultTabStop w:val="720"/>
  <w:evenAndOddHeaders/>
  <w:drawingGridHorizontalSpacing w:val="120"/>
  <w:displayHorizontalDrawingGridEvery w:val="2"/>
  <w:characterSpacingControl w:val="doNotCompress"/>
  <w:hdrShapeDefaults>
    <o:shapedefaults v:ext="edit" spidmax="78850">
      <o:colormenu v:ext="edit" fillcolor="none" strokecolor="none"/>
    </o:shapedefaults>
  </w:hdrShapeDefaults>
  <w:footnotePr>
    <w:numRestart w:val="eachPage"/>
    <w:footnote w:id="0"/>
    <w:footnote w:id="1"/>
  </w:footnotePr>
  <w:endnotePr>
    <w:pos w:val="sectEnd"/>
    <w:endnote w:id="0"/>
    <w:endnote w:id="1"/>
  </w:endnotePr>
  <w:compat/>
  <w:rsids>
    <w:rsidRoot w:val="004E6830"/>
    <w:rsid w:val="00001FC4"/>
    <w:rsid w:val="00003762"/>
    <w:rsid w:val="000170EE"/>
    <w:rsid w:val="00023533"/>
    <w:rsid w:val="00026826"/>
    <w:rsid w:val="00031437"/>
    <w:rsid w:val="0003401A"/>
    <w:rsid w:val="000415E7"/>
    <w:rsid w:val="00044C10"/>
    <w:rsid w:val="0004549E"/>
    <w:rsid w:val="00050C72"/>
    <w:rsid w:val="0005302C"/>
    <w:rsid w:val="00053E01"/>
    <w:rsid w:val="00061DF0"/>
    <w:rsid w:val="000678FD"/>
    <w:rsid w:val="00073829"/>
    <w:rsid w:val="00074206"/>
    <w:rsid w:val="00077A7D"/>
    <w:rsid w:val="000829FA"/>
    <w:rsid w:val="00083AEE"/>
    <w:rsid w:val="00084794"/>
    <w:rsid w:val="00084BED"/>
    <w:rsid w:val="00090D39"/>
    <w:rsid w:val="0009214C"/>
    <w:rsid w:val="00094CD3"/>
    <w:rsid w:val="000A2ED8"/>
    <w:rsid w:val="000A6088"/>
    <w:rsid w:val="000B1314"/>
    <w:rsid w:val="000B1ADA"/>
    <w:rsid w:val="000C3F0D"/>
    <w:rsid w:val="000D4F78"/>
    <w:rsid w:val="000E1F9D"/>
    <w:rsid w:val="000E358C"/>
    <w:rsid w:val="000E57DB"/>
    <w:rsid w:val="000F19A3"/>
    <w:rsid w:val="000F2C80"/>
    <w:rsid w:val="000F6CE1"/>
    <w:rsid w:val="001005A0"/>
    <w:rsid w:val="0010668E"/>
    <w:rsid w:val="00115614"/>
    <w:rsid w:val="00117AEA"/>
    <w:rsid w:val="00117F35"/>
    <w:rsid w:val="0012273A"/>
    <w:rsid w:val="0012638F"/>
    <w:rsid w:val="0012662A"/>
    <w:rsid w:val="00131CA5"/>
    <w:rsid w:val="00135171"/>
    <w:rsid w:val="0014140A"/>
    <w:rsid w:val="00142A15"/>
    <w:rsid w:val="00145347"/>
    <w:rsid w:val="00147B9B"/>
    <w:rsid w:val="00151EF3"/>
    <w:rsid w:val="001543BE"/>
    <w:rsid w:val="00155F40"/>
    <w:rsid w:val="00167CC0"/>
    <w:rsid w:val="001807F7"/>
    <w:rsid w:val="00181356"/>
    <w:rsid w:val="0018577D"/>
    <w:rsid w:val="00186FC3"/>
    <w:rsid w:val="00195135"/>
    <w:rsid w:val="001A7BEE"/>
    <w:rsid w:val="001B0185"/>
    <w:rsid w:val="001B2912"/>
    <w:rsid w:val="001B2BD6"/>
    <w:rsid w:val="001C01B6"/>
    <w:rsid w:val="001C4A6F"/>
    <w:rsid w:val="001C69B5"/>
    <w:rsid w:val="001D13E2"/>
    <w:rsid w:val="001D5655"/>
    <w:rsid w:val="001E41C7"/>
    <w:rsid w:val="001F03E0"/>
    <w:rsid w:val="001F4E1F"/>
    <w:rsid w:val="001F5257"/>
    <w:rsid w:val="00200123"/>
    <w:rsid w:val="00201CBF"/>
    <w:rsid w:val="002038B5"/>
    <w:rsid w:val="0020483B"/>
    <w:rsid w:val="002134A9"/>
    <w:rsid w:val="00213BCF"/>
    <w:rsid w:val="00222005"/>
    <w:rsid w:val="002250CA"/>
    <w:rsid w:val="0022552B"/>
    <w:rsid w:val="00225E61"/>
    <w:rsid w:val="002316A6"/>
    <w:rsid w:val="00233C16"/>
    <w:rsid w:val="00233C5F"/>
    <w:rsid w:val="0023776B"/>
    <w:rsid w:val="00237C12"/>
    <w:rsid w:val="0024336F"/>
    <w:rsid w:val="0024349B"/>
    <w:rsid w:val="0024355D"/>
    <w:rsid w:val="00244B49"/>
    <w:rsid w:val="00245491"/>
    <w:rsid w:val="00245551"/>
    <w:rsid w:val="00245AE8"/>
    <w:rsid w:val="0024750A"/>
    <w:rsid w:val="002517E2"/>
    <w:rsid w:val="00253503"/>
    <w:rsid w:val="00254064"/>
    <w:rsid w:val="00255FF7"/>
    <w:rsid w:val="002572B4"/>
    <w:rsid w:val="00260910"/>
    <w:rsid w:val="00261201"/>
    <w:rsid w:val="00266DDD"/>
    <w:rsid w:val="002731E3"/>
    <w:rsid w:val="00275C22"/>
    <w:rsid w:val="00277277"/>
    <w:rsid w:val="00277DB0"/>
    <w:rsid w:val="00281934"/>
    <w:rsid w:val="00287262"/>
    <w:rsid w:val="002A06E3"/>
    <w:rsid w:val="002A0E41"/>
    <w:rsid w:val="002A45EC"/>
    <w:rsid w:val="002A5F58"/>
    <w:rsid w:val="002B04B4"/>
    <w:rsid w:val="002B0C4F"/>
    <w:rsid w:val="002B21F2"/>
    <w:rsid w:val="002B28AB"/>
    <w:rsid w:val="002B2E95"/>
    <w:rsid w:val="002C49B7"/>
    <w:rsid w:val="002C5DA9"/>
    <w:rsid w:val="002D0BB0"/>
    <w:rsid w:val="002D18B4"/>
    <w:rsid w:val="002D1FB8"/>
    <w:rsid w:val="002D5706"/>
    <w:rsid w:val="002D7ED0"/>
    <w:rsid w:val="002E7EDD"/>
    <w:rsid w:val="002F0C7D"/>
    <w:rsid w:val="002F1C87"/>
    <w:rsid w:val="00304503"/>
    <w:rsid w:val="003063C6"/>
    <w:rsid w:val="00316597"/>
    <w:rsid w:val="00320C69"/>
    <w:rsid w:val="00324EFA"/>
    <w:rsid w:val="00330F9C"/>
    <w:rsid w:val="00331F22"/>
    <w:rsid w:val="00334716"/>
    <w:rsid w:val="0034476B"/>
    <w:rsid w:val="003474B9"/>
    <w:rsid w:val="003524C1"/>
    <w:rsid w:val="003539F5"/>
    <w:rsid w:val="003559A9"/>
    <w:rsid w:val="00363C12"/>
    <w:rsid w:val="00367379"/>
    <w:rsid w:val="00375789"/>
    <w:rsid w:val="003817B1"/>
    <w:rsid w:val="00391452"/>
    <w:rsid w:val="00394F01"/>
    <w:rsid w:val="003A36D5"/>
    <w:rsid w:val="003A6AD3"/>
    <w:rsid w:val="003B2567"/>
    <w:rsid w:val="003B5475"/>
    <w:rsid w:val="003C4330"/>
    <w:rsid w:val="003D03B7"/>
    <w:rsid w:val="003D2E98"/>
    <w:rsid w:val="003D311F"/>
    <w:rsid w:val="003D55F6"/>
    <w:rsid w:val="003E1464"/>
    <w:rsid w:val="003E3BD9"/>
    <w:rsid w:val="003F1113"/>
    <w:rsid w:val="003F1578"/>
    <w:rsid w:val="003F56A4"/>
    <w:rsid w:val="003F6080"/>
    <w:rsid w:val="00401B64"/>
    <w:rsid w:val="00403A4F"/>
    <w:rsid w:val="00405AF0"/>
    <w:rsid w:val="00414DAF"/>
    <w:rsid w:val="004167F6"/>
    <w:rsid w:val="00420318"/>
    <w:rsid w:val="004327A4"/>
    <w:rsid w:val="00443AD9"/>
    <w:rsid w:val="00447DBB"/>
    <w:rsid w:val="00450B7C"/>
    <w:rsid w:val="00452C39"/>
    <w:rsid w:val="0045368E"/>
    <w:rsid w:val="00454E1A"/>
    <w:rsid w:val="00462F37"/>
    <w:rsid w:val="004637F9"/>
    <w:rsid w:val="00471C78"/>
    <w:rsid w:val="004735FB"/>
    <w:rsid w:val="0047604D"/>
    <w:rsid w:val="004761AB"/>
    <w:rsid w:val="0048151C"/>
    <w:rsid w:val="00490250"/>
    <w:rsid w:val="00490BF3"/>
    <w:rsid w:val="00494FA9"/>
    <w:rsid w:val="00497A42"/>
    <w:rsid w:val="004A0524"/>
    <w:rsid w:val="004B02AA"/>
    <w:rsid w:val="004B2EF7"/>
    <w:rsid w:val="004C04C8"/>
    <w:rsid w:val="004C5F07"/>
    <w:rsid w:val="004D1FE7"/>
    <w:rsid w:val="004D4030"/>
    <w:rsid w:val="004D7468"/>
    <w:rsid w:val="004E42AE"/>
    <w:rsid w:val="004E6830"/>
    <w:rsid w:val="004F4F12"/>
    <w:rsid w:val="004F585D"/>
    <w:rsid w:val="005014C2"/>
    <w:rsid w:val="0050542A"/>
    <w:rsid w:val="00514881"/>
    <w:rsid w:val="005244BA"/>
    <w:rsid w:val="00532B57"/>
    <w:rsid w:val="00532EFC"/>
    <w:rsid w:val="005336ED"/>
    <w:rsid w:val="0054016B"/>
    <w:rsid w:val="00541DD3"/>
    <w:rsid w:val="005463F0"/>
    <w:rsid w:val="0054758A"/>
    <w:rsid w:val="0055147F"/>
    <w:rsid w:val="00552218"/>
    <w:rsid w:val="005526BD"/>
    <w:rsid w:val="0056200C"/>
    <w:rsid w:val="00566AAD"/>
    <w:rsid w:val="00567D5F"/>
    <w:rsid w:val="005703F0"/>
    <w:rsid w:val="005808B6"/>
    <w:rsid w:val="005825D0"/>
    <w:rsid w:val="005948E8"/>
    <w:rsid w:val="0059584D"/>
    <w:rsid w:val="005A3353"/>
    <w:rsid w:val="005A670D"/>
    <w:rsid w:val="005B13D4"/>
    <w:rsid w:val="005B27F9"/>
    <w:rsid w:val="005C0ADD"/>
    <w:rsid w:val="005C1899"/>
    <w:rsid w:val="005C3B30"/>
    <w:rsid w:val="005C4F38"/>
    <w:rsid w:val="005D6B11"/>
    <w:rsid w:val="005E407B"/>
    <w:rsid w:val="005E5740"/>
    <w:rsid w:val="005E738C"/>
    <w:rsid w:val="005E7E53"/>
    <w:rsid w:val="005F21E9"/>
    <w:rsid w:val="005F4D13"/>
    <w:rsid w:val="00612D14"/>
    <w:rsid w:val="0061396C"/>
    <w:rsid w:val="00613A8A"/>
    <w:rsid w:val="0061414C"/>
    <w:rsid w:val="00625CA4"/>
    <w:rsid w:val="0062738A"/>
    <w:rsid w:val="0063040E"/>
    <w:rsid w:val="0063420C"/>
    <w:rsid w:val="00640688"/>
    <w:rsid w:val="006414C5"/>
    <w:rsid w:val="00644B42"/>
    <w:rsid w:val="00646638"/>
    <w:rsid w:val="00652095"/>
    <w:rsid w:val="006549C0"/>
    <w:rsid w:val="006601B0"/>
    <w:rsid w:val="006641EF"/>
    <w:rsid w:val="00664B15"/>
    <w:rsid w:val="00673BF7"/>
    <w:rsid w:val="006778A0"/>
    <w:rsid w:val="0068039E"/>
    <w:rsid w:val="00683606"/>
    <w:rsid w:val="006852D7"/>
    <w:rsid w:val="006A01A7"/>
    <w:rsid w:val="006A25E4"/>
    <w:rsid w:val="006A56BE"/>
    <w:rsid w:val="006A6AF3"/>
    <w:rsid w:val="006C14A3"/>
    <w:rsid w:val="006D01F4"/>
    <w:rsid w:val="006E1708"/>
    <w:rsid w:val="006F0E13"/>
    <w:rsid w:val="007023DD"/>
    <w:rsid w:val="0070382A"/>
    <w:rsid w:val="007059B1"/>
    <w:rsid w:val="00706CC6"/>
    <w:rsid w:val="00707471"/>
    <w:rsid w:val="00717170"/>
    <w:rsid w:val="00725F8F"/>
    <w:rsid w:val="007400F8"/>
    <w:rsid w:val="007408B3"/>
    <w:rsid w:val="007568FC"/>
    <w:rsid w:val="00761913"/>
    <w:rsid w:val="00766DC3"/>
    <w:rsid w:val="00770EF1"/>
    <w:rsid w:val="00775C55"/>
    <w:rsid w:val="007805BD"/>
    <w:rsid w:val="00783213"/>
    <w:rsid w:val="00787CAE"/>
    <w:rsid w:val="007938BE"/>
    <w:rsid w:val="00795406"/>
    <w:rsid w:val="007A3080"/>
    <w:rsid w:val="007A330D"/>
    <w:rsid w:val="007A4807"/>
    <w:rsid w:val="007B09EB"/>
    <w:rsid w:val="007B4B66"/>
    <w:rsid w:val="007C278B"/>
    <w:rsid w:val="007C2D24"/>
    <w:rsid w:val="007D39FE"/>
    <w:rsid w:val="007D4A39"/>
    <w:rsid w:val="007E0990"/>
    <w:rsid w:val="007E3566"/>
    <w:rsid w:val="007E628D"/>
    <w:rsid w:val="007E6EA3"/>
    <w:rsid w:val="007E7BEE"/>
    <w:rsid w:val="007F4DD7"/>
    <w:rsid w:val="0080172B"/>
    <w:rsid w:val="008175A7"/>
    <w:rsid w:val="008224EA"/>
    <w:rsid w:val="00826629"/>
    <w:rsid w:val="00835AC9"/>
    <w:rsid w:val="008412AE"/>
    <w:rsid w:val="00843D3F"/>
    <w:rsid w:val="00845C2D"/>
    <w:rsid w:val="00850607"/>
    <w:rsid w:val="00861BE8"/>
    <w:rsid w:val="008622B1"/>
    <w:rsid w:val="00870813"/>
    <w:rsid w:val="00872460"/>
    <w:rsid w:val="00877C0F"/>
    <w:rsid w:val="00886148"/>
    <w:rsid w:val="008903DB"/>
    <w:rsid w:val="00895FE4"/>
    <w:rsid w:val="00896C6F"/>
    <w:rsid w:val="008A0317"/>
    <w:rsid w:val="008B18DC"/>
    <w:rsid w:val="008B289C"/>
    <w:rsid w:val="008B4416"/>
    <w:rsid w:val="008B4EC4"/>
    <w:rsid w:val="008B4FBC"/>
    <w:rsid w:val="008B6182"/>
    <w:rsid w:val="008B7271"/>
    <w:rsid w:val="008C0944"/>
    <w:rsid w:val="008C4322"/>
    <w:rsid w:val="008C68BA"/>
    <w:rsid w:val="008D0C4E"/>
    <w:rsid w:val="008D2D6D"/>
    <w:rsid w:val="008D3278"/>
    <w:rsid w:val="008D515A"/>
    <w:rsid w:val="008D63E9"/>
    <w:rsid w:val="008F0EFD"/>
    <w:rsid w:val="008F12C3"/>
    <w:rsid w:val="008F26B6"/>
    <w:rsid w:val="008F30E0"/>
    <w:rsid w:val="0090227D"/>
    <w:rsid w:val="0090339F"/>
    <w:rsid w:val="00903D39"/>
    <w:rsid w:val="00910E1F"/>
    <w:rsid w:val="0091116F"/>
    <w:rsid w:val="00912D59"/>
    <w:rsid w:val="0091512B"/>
    <w:rsid w:val="0092311C"/>
    <w:rsid w:val="009263C2"/>
    <w:rsid w:val="0093686B"/>
    <w:rsid w:val="009421A0"/>
    <w:rsid w:val="00953D32"/>
    <w:rsid w:val="009545DE"/>
    <w:rsid w:val="00954C65"/>
    <w:rsid w:val="00960CC9"/>
    <w:rsid w:val="00965696"/>
    <w:rsid w:val="00971D82"/>
    <w:rsid w:val="009751FA"/>
    <w:rsid w:val="00980C15"/>
    <w:rsid w:val="00984DCE"/>
    <w:rsid w:val="0098511B"/>
    <w:rsid w:val="00987BDF"/>
    <w:rsid w:val="00992553"/>
    <w:rsid w:val="009A004F"/>
    <w:rsid w:val="009B0152"/>
    <w:rsid w:val="009C68D7"/>
    <w:rsid w:val="009D610A"/>
    <w:rsid w:val="009D641E"/>
    <w:rsid w:val="009E2D1C"/>
    <w:rsid w:val="009E68EC"/>
    <w:rsid w:val="009F2776"/>
    <w:rsid w:val="00A11135"/>
    <w:rsid w:val="00A12AD2"/>
    <w:rsid w:val="00A1340E"/>
    <w:rsid w:val="00A302D7"/>
    <w:rsid w:val="00A3137E"/>
    <w:rsid w:val="00A46058"/>
    <w:rsid w:val="00A50B41"/>
    <w:rsid w:val="00A56AEE"/>
    <w:rsid w:val="00A733CA"/>
    <w:rsid w:val="00A7554B"/>
    <w:rsid w:val="00A7629E"/>
    <w:rsid w:val="00A82128"/>
    <w:rsid w:val="00A84035"/>
    <w:rsid w:val="00A855D2"/>
    <w:rsid w:val="00A91406"/>
    <w:rsid w:val="00A93414"/>
    <w:rsid w:val="00A9512A"/>
    <w:rsid w:val="00A97486"/>
    <w:rsid w:val="00AA0D36"/>
    <w:rsid w:val="00AA21AC"/>
    <w:rsid w:val="00AB539D"/>
    <w:rsid w:val="00AB6E53"/>
    <w:rsid w:val="00AB7FCF"/>
    <w:rsid w:val="00AC2A2A"/>
    <w:rsid w:val="00AD1F08"/>
    <w:rsid w:val="00AD2B7E"/>
    <w:rsid w:val="00AD4093"/>
    <w:rsid w:val="00AD5FFE"/>
    <w:rsid w:val="00AD63E8"/>
    <w:rsid w:val="00AF1392"/>
    <w:rsid w:val="00AF29FC"/>
    <w:rsid w:val="00AF7782"/>
    <w:rsid w:val="00B02C3B"/>
    <w:rsid w:val="00B04D2A"/>
    <w:rsid w:val="00B10529"/>
    <w:rsid w:val="00B11E0D"/>
    <w:rsid w:val="00B12A0E"/>
    <w:rsid w:val="00B13CEC"/>
    <w:rsid w:val="00B22D05"/>
    <w:rsid w:val="00B3441B"/>
    <w:rsid w:val="00B40540"/>
    <w:rsid w:val="00B41759"/>
    <w:rsid w:val="00B41FB1"/>
    <w:rsid w:val="00B43416"/>
    <w:rsid w:val="00B4380F"/>
    <w:rsid w:val="00B445CC"/>
    <w:rsid w:val="00B4477A"/>
    <w:rsid w:val="00B516D0"/>
    <w:rsid w:val="00B55EB6"/>
    <w:rsid w:val="00B56CEB"/>
    <w:rsid w:val="00B57E8E"/>
    <w:rsid w:val="00B6338C"/>
    <w:rsid w:val="00B640F1"/>
    <w:rsid w:val="00B85176"/>
    <w:rsid w:val="00B854E3"/>
    <w:rsid w:val="00B874F9"/>
    <w:rsid w:val="00B90CE5"/>
    <w:rsid w:val="00B93686"/>
    <w:rsid w:val="00B97A95"/>
    <w:rsid w:val="00BA0222"/>
    <w:rsid w:val="00BB1DE7"/>
    <w:rsid w:val="00BB46F3"/>
    <w:rsid w:val="00BC54FA"/>
    <w:rsid w:val="00BD2394"/>
    <w:rsid w:val="00BD5685"/>
    <w:rsid w:val="00BE279C"/>
    <w:rsid w:val="00BE6A6D"/>
    <w:rsid w:val="00BF5E01"/>
    <w:rsid w:val="00BF7946"/>
    <w:rsid w:val="00C00F94"/>
    <w:rsid w:val="00C10BA2"/>
    <w:rsid w:val="00C12400"/>
    <w:rsid w:val="00C12EE6"/>
    <w:rsid w:val="00C36947"/>
    <w:rsid w:val="00C51C95"/>
    <w:rsid w:val="00C53474"/>
    <w:rsid w:val="00C53C1A"/>
    <w:rsid w:val="00C53CF0"/>
    <w:rsid w:val="00C558B2"/>
    <w:rsid w:val="00C63A67"/>
    <w:rsid w:val="00C678AE"/>
    <w:rsid w:val="00C70F32"/>
    <w:rsid w:val="00C809D7"/>
    <w:rsid w:val="00C80FF6"/>
    <w:rsid w:val="00C828EC"/>
    <w:rsid w:val="00C87D54"/>
    <w:rsid w:val="00C95693"/>
    <w:rsid w:val="00C9668A"/>
    <w:rsid w:val="00C978E2"/>
    <w:rsid w:val="00CA4DE7"/>
    <w:rsid w:val="00CA55F8"/>
    <w:rsid w:val="00CB3C38"/>
    <w:rsid w:val="00CB7AAF"/>
    <w:rsid w:val="00CC1DF6"/>
    <w:rsid w:val="00CC3D16"/>
    <w:rsid w:val="00CC5BFF"/>
    <w:rsid w:val="00CD039F"/>
    <w:rsid w:val="00CD04C1"/>
    <w:rsid w:val="00CD3010"/>
    <w:rsid w:val="00CD307F"/>
    <w:rsid w:val="00CD55B8"/>
    <w:rsid w:val="00CE00E4"/>
    <w:rsid w:val="00D01B93"/>
    <w:rsid w:val="00D02D74"/>
    <w:rsid w:val="00D033D8"/>
    <w:rsid w:val="00D05543"/>
    <w:rsid w:val="00D0674B"/>
    <w:rsid w:val="00D1280E"/>
    <w:rsid w:val="00D129DC"/>
    <w:rsid w:val="00D12B75"/>
    <w:rsid w:val="00D12F61"/>
    <w:rsid w:val="00D237F5"/>
    <w:rsid w:val="00D24074"/>
    <w:rsid w:val="00D246F5"/>
    <w:rsid w:val="00D339E2"/>
    <w:rsid w:val="00D360FB"/>
    <w:rsid w:val="00D3797D"/>
    <w:rsid w:val="00D42858"/>
    <w:rsid w:val="00D4303D"/>
    <w:rsid w:val="00D44852"/>
    <w:rsid w:val="00D5039B"/>
    <w:rsid w:val="00D55D83"/>
    <w:rsid w:val="00D55FC8"/>
    <w:rsid w:val="00D6311E"/>
    <w:rsid w:val="00D64B59"/>
    <w:rsid w:val="00D660EF"/>
    <w:rsid w:val="00D6764B"/>
    <w:rsid w:val="00D720C2"/>
    <w:rsid w:val="00D765D6"/>
    <w:rsid w:val="00D86BB9"/>
    <w:rsid w:val="00D875DB"/>
    <w:rsid w:val="00D90F40"/>
    <w:rsid w:val="00D9106B"/>
    <w:rsid w:val="00D95E9D"/>
    <w:rsid w:val="00DA0D76"/>
    <w:rsid w:val="00DA2C30"/>
    <w:rsid w:val="00DA2FDE"/>
    <w:rsid w:val="00DA605C"/>
    <w:rsid w:val="00DA6DC4"/>
    <w:rsid w:val="00DB2428"/>
    <w:rsid w:val="00DC0A84"/>
    <w:rsid w:val="00DE3965"/>
    <w:rsid w:val="00DE6BD3"/>
    <w:rsid w:val="00DF181F"/>
    <w:rsid w:val="00DF3316"/>
    <w:rsid w:val="00DF4BF0"/>
    <w:rsid w:val="00DF5ED2"/>
    <w:rsid w:val="00E01389"/>
    <w:rsid w:val="00E05162"/>
    <w:rsid w:val="00E06B5D"/>
    <w:rsid w:val="00E07A6A"/>
    <w:rsid w:val="00E108B7"/>
    <w:rsid w:val="00E136D9"/>
    <w:rsid w:val="00E14AEE"/>
    <w:rsid w:val="00E20496"/>
    <w:rsid w:val="00E25184"/>
    <w:rsid w:val="00E2537F"/>
    <w:rsid w:val="00E4014D"/>
    <w:rsid w:val="00E463FE"/>
    <w:rsid w:val="00E62A8D"/>
    <w:rsid w:val="00E706C1"/>
    <w:rsid w:val="00E76382"/>
    <w:rsid w:val="00E81FCB"/>
    <w:rsid w:val="00E955E0"/>
    <w:rsid w:val="00E9640F"/>
    <w:rsid w:val="00EA36BF"/>
    <w:rsid w:val="00EA5B6C"/>
    <w:rsid w:val="00EB2E2C"/>
    <w:rsid w:val="00EB5826"/>
    <w:rsid w:val="00EC072A"/>
    <w:rsid w:val="00EC0E03"/>
    <w:rsid w:val="00ED1FA7"/>
    <w:rsid w:val="00ED33A5"/>
    <w:rsid w:val="00ED3D0C"/>
    <w:rsid w:val="00EE0BB1"/>
    <w:rsid w:val="00EE1961"/>
    <w:rsid w:val="00EE3D1D"/>
    <w:rsid w:val="00EE3DAF"/>
    <w:rsid w:val="00EE5D3B"/>
    <w:rsid w:val="00EF12A8"/>
    <w:rsid w:val="00F00CB3"/>
    <w:rsid w:val="00F03D05"/>
    <w:rsid w:val="00F053CE"/>
    <w:rsid w:val="00F05CC9"/>
    <w:rsid w:val="00F11E7C"/>
    <w:rsid w:val="00F2733F"/>
    <w:rsid w:val="00F45903"/>
    <w:rsid w:val="00F53503"/>
    <w:rsid w:val="00F5461F"/>
    <w:rsid w:val="00F57074"/>
    <w:rsid w:val="00F57CF8"/>
    <w:rsid w:val="00F64B49"/>
    <w:rsid w:val="00F74499"/>
    <w:rsid w:val="00F74BF3"/>
    <w:rsid w:val="00F8280C"/>
    <w:rsid w:val="00F87BDA"/>
    <w:rsid w:val="00F93870"/>
    <w:rsid w:val="00F97077"/>
    <w:rsid w:val="00F970FB"/>
    <w:rsid w:val="00FA417E"/>
    <w:rsid w:val="00FB42DE"/>
    <w:rsid w:val="00FB5C54"/>
    <w:rsid w:val="00FC0F56"/>
    <w:rsid w:val="00FC7793"/>
    <w:rsid w:val="00FC7FD4"/>
    <w:rsid w:val="00FD1C83"/>
    <w:rsid w:val="00FD24F1"/>
    <w:rsid w:val="00FD257F"/>
    <w:rsid w:val="00FD2B65"/>
    <w:rsid w:val="00FD32EA"/>
    <w:rsid w:val="00FD63BE"/>
    <w:rsid w:val="00FE241A"/>
    <w:rsid w:val="00FE42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8850">
      <o:colormenu v:ext="edit" fillcolor="none" strokecolor="none"/>
    </o:shapedefaults>
    <o:shapelayout v:ext="edit">
      <o:idmap v:ext="edit" data="1"/>
      <o:rules v:ext="edit">
        <o:r id="V:Rule3" type="connector" idref="#_x0000_s1911"/>
        <o:r id="V:Rule4" type="connector" idref="#_x0000_s19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6830"/>
    <w:pPr>
      <w:spacing w:before="120" w:after="120" w:line="240" w:lineRule="auto"/>
      <w:ind w:left="720"/>
      <w:jc w:val="both"/>
    </w:pPr>
    <w:rPr>
      <w:rFonts w:ascii="Times New Roman" w:hAnsi="Times New Roman" w:cs="Times New Roman"/>
      <w:kern w:val="24"/>
      <w:sz w:val="24"/>
      <w:szCs w:val="24"/>
      <w:lang w:val="en-US"/>
    </w:rPr>
  </w:style>
  <w:style w:type="paragraph" w:styleId="Heading1">
    <w:name w:val="heading 1"/>
    <w:basedOn w:val="Normal"/>
    <w:next w:val="Normal"/>
    <w:link w:val="Heading1Char"/>
    <w:uiPriority w:val="9"/>
    <w:qFormat/>
    <w:rsid w:val="002A5F58"/>
    <w:pPr>
      <w:keepNext/>
      <w:spacing w:before="40" w:after="0"/>
      <w:ind w:left="0"/>
      <w:jc w:val="left"/>
      <w:outlineLvl w:val="0"/>
    </w:pPr>
    <w:rPr>
      <w:rFonts w:ascii="Helvetica" w:eastAsia="Times New Roman" w:hAnsi="Helvetica"/>
      <w:b/>
      <w:kern w:val="28"/>
      <w:sz w:val="22"/>
      <w:szCs w:val="20"/>
    </w:rPr>
  </w:style>
  <w:style w:type="paragraph" w:styleId="Heading2">
    <w:name w:val="heading 2"/>
    <w:basedOn w:val="Normal"/>
    <w:next w:val="Normal"/>
    <w:link w:val="Heading2Char"/>
    <w:uiPriority w:val="9"/>
    <w:semiHidden/>
    <w:unhideWhenUsed/>
    <w:qFormat/>
    <w:rsid w:val="005C0AD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C0AD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A55F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A55F8"/>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A55F8"/>
    <w:pPr>
      <w:keepNext/>
      <w:keepLines/>
      <w:spacing w:before="200" w:after="0"/>
      <w:outlineLvl w:val="5"/>
    </w:pPr>
    <w:rPr>
      <w:rFonts w:asciiTheme="majorHAnsi" w:eastAsiaTheme="majorEastAsia" w:hAnsiTheme="majorHAnsi" w:cstheme="majorBidi"/>
      <w:i/>
      <w:iCs/>
      <w:color w:val="243F60" w:themeColor="accent1" w:themeShade="7F"/>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6830"/>
    <w:pPr>
      <w:tabs>
        <w:tab w:val="center" w:pos="4513"/>
        <w:tab w:val="right" w:pos="9026"/>
      </w:tabs>
      <w:spacing w:before="0" w:after="0"/>
      <w:ind w:left="0"/>
      <w:jc w:val="left"/>
    </w:pPr>
    <w:rPr>
      <w:rFonts w:asciiTheme="minorHAnsi" w:hAnsiTheme="minorHAnsi" w:cstheme="minorBidi"/>
      <w:kern w:val="0"/>
      <w:sz w:val="22"/>
      <w:szCs w:val="22"/>
      <w:lang w:val="en-GB"/>
    </w:rPr>
  </w:style>
  <w:style w:type="character" w:customStyle="1" w:styleId="HeaderChar">
    <w:name w:val="Header Char"/>
    <w:basedOn w:val="DefaultParagraphFont"/>
    <w:link w:val="Header"/>
    <w:uiPriority w:val="99"/>
    <w:rsid w:val="004E6830"/>
    <w:rPr>
      <w:lang w:val="en-GB"/>
    </w:rPr>
  </w:style>
  <w:style w:type="paragraph" w:styleId="Footer">
    <w:name w:val="footer"/>
    <w:basedOn w:val="Normal"/>
    <w:link w:val="FooterChar"/>
    <w:uiPriority w:val="99"/>
    <w:unhideWhenUsed/>
    <w:rsid w:val="004E6830"/>
    <w:pPr>
      <w:tabs>
        <w:tab w:val="center" w:pos="4513"/>
        <w:tab w:val="right" w:pos="9026"/>
      </w:tabs>
      <w:spacing w:before="0" w:after="0"/>
      <w:ind w:left="0"/>
      <w:jc w:val="left"/>
    </w:pPr>
    <w:rPr>
      <w:rFonts w:asciiTheme="minorHAnsi" w:hAnsiTheme="minorHAnsi" w:cstheme="minorBidi"/>
      <w:kern w:val="0"/>
      <w:sz w:val="22"/>
      <w:szCs w:val="22"/>
      <w:lang w:val="en-GB"/>
    </w:rPr>
  </w:style>
  <w:style w:type="character" w:customStyle="1" w:styleId="FooterChar">
    <w:name w:val="Footer Char"/>
    <w:basedOn w:val="DefaultParagraphFont"/>
    <w:link w:val="Footer"/>
    <w:uiPriority w:val="99"/>
    <w:rsid w:val="004E6830"/>
    <w:rPr>
      <w:lang w:val="en-GB"/>
    </w:rPr>
  </w:style>
  <w:style w:type="paragraph" w:customStyle="1" w:styleId="normal0">
    <w:name w:val="normal"/>
    <w:basedOn w:val="Normal"/>
    <w:rsid w:val="004E6830"/>
    <w:pPr>
      <w:spacing w:before="100" w:beforeAutospacing="1" w:after="100" w:afterAutospacing="1"/>
      <w:ind w:left="0"/>
      <w:jc w:val="left"/>
    </w:pPr>
    <w:rPr>
      <w:rFonts w:eastAsia="Times New Roman"/>
      <w:kern w:val="0"/>
      <w:lang w:eastAsia="id-ID"/>
    </w:rPr>
  </w:style>
  <w:style w:type="paragraph" w:customStyle="1" w:styleId="Default">
    <w:name w:val="Default"/>
    <w:rsid w:val="004E683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4E6830"/>
    <w:rPr>
      <w:rFonts w:ascii="Calibri" w:eastAsia="Times New Roman" w:hAnsi="Calibri" w:cs="Calibri"/>
      <w:b/>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6830"/>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830"/>
    <w:rPr>
      <w:rFonts w:ascii="Tahoma" w:hAnsi="Tahoma" w:cs="Tahoma"/>
      <w:kern w:val="24"/>
      <w:sz w:val="16"/>
      <w:szCs w:val="16"/>
    </w:rPr>
  </w:style>
  <w:style w:type="paragraph" w:styleId="ListParagraph">
    <w:name w:val="List Paragraph"/>
    <w:aliases w:val="Tabel,kepala,point-point,Judul super kecil,Body of text"/>
    <w:basedOn w:val="Normal"/>
    <w:uiPriority w:val="34"/>
    <w:qFormat/>
    <w:rsid w:val="00DA2C30"/>
    <w:pPr>
      <w:contextualSpacing/>
    </w:pPr>
  </w:style>
  <w:style w:type="paragraph" w:styleId="FootnoteText">
    <w:name w:val="footnote text"/>
    <w:aliases w:val="Footnote Text Char Char,Footnote Text Char Char Char Char Char,Footnote Text Char Char Char Char Char Char Char Char,Footnote Text Char Char Char Char Char Char Char Char Char Char Char Char Char Char, Char,Char,Footnote Text Char1"/>
    <w:basedOn w:val="Normal"/>
    <w:link w:val="FootnoteTextChar"/>
    <w:uiPriority w:val="99"/>
    <w:unhideWhenUsed/>
    <w:qFormat/>
    <w:rsid w:val="00AD2B7E"/>
    <w:pPr>
      <w:spacing w:before="0" w:after="0"/>
      <w:ind w:left="0"/>
      <w:jc w:val="left"/>
    </w:pPr>
    <w:rPr>
      <w:rFonts w:asciiTheme="minorHAnsi" w:hAnsiTheme="minorHAnsi" w:cstheme="minorBidi"/>
      <w:kern w:val="0"/>
      <w:sz w:val="20"/>
      <w:szCs w:val="20"/>
    </w:rPr>
  </w:style>
  <w:style w:type="character" w:customStyle="1" w:styleId="FootnoteTextChar">
    <w:name w:val="Footnote Text Char"/>
    <w:aliases w:val="Footnote Text Char Char Char,Footnote Text Char Char Char Char Char Char,Footnote Text Char Char Char Char Char Char Char Char Char,Footnote Text Char Char Char Char Char Char Char Char Char Char Char Char Char Char Char, Char Char"/>
    <w:basedOn w:val="DefaultParagraphFont"/>
    <w:link w:val="FootnoteText"/>
    <w:uiPriority w:val="99"/>
    <w:qFormat/>
    <w:rsid w:val="00AD2B7E"/>
    <w:rPr>
      <w:sz w:val="20"/>
      <w:szCs w:val="20"/>
    </w:rPr>
  </w:style>
  <w:style w:type="character" w:styleId="FootnoteReference">
    <w:name w:val="footnote reference"/>
    <w:aliases w:val="Footnote Reference1"/>
    <w:basedOn w:val="DefaultParagraphFont"/>
    <w:uiPriority w:val="99"/>
    <w:unhideWhenUsed/>
    <w:qFormat/>
    <w:rsid w:val="00AD2B7E"/>
    <w:rPr>
      <w:vertAlign w:val="superscript"/>
    </w:rPr>
  </w:style>
  <w:style w:type="paragraph" w:styleId="HTMLPreformatted">
    <w:name w:val="HTML Preformatted"/>
    <w:basedOn w:val="Normal"/>
    <w:link w:val="HTMLPreformattedChar"/>
    <w:uiPriority w:val="99"/>
    <w:unhideWhenUsed/>
    <w:rsid w:val="00B44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0"/>
      <w:jc w:val="left"/>
    </w:pPr>
    <w:rPr>
      <w:rFonts w:ascii="Courier New" w:eastAsia="Times New Roman" w:hAnsi="Courier New" w:cs="Courier New"/>
      <w:kern w:val="0"/>
      <w:sz w:val="20"/>
      <w:szCs w:val="20"/>
      <w:lang w:eastAsia="id-ID"/>
    </w:rPr>
  </w:style>
  <w:style w:type="character" w:customStyle="1" w:styleId="HTMLPreformattedChar">
    <w:name w:val="HTML Preformatted Char"/>
    <w:basedOn w:val="DefaultParagraphFont"/>
    <w:link w:val="HTMLPreformatted"/>
    <w:uiPriority w:val="99"/>
    <w:rsid w:val="00B4477A"/>
    <w:rPr>
      <w:rFonts w:ascii="Courier New" w:eastAsia="Times New Roman" w:hAnsi="Courier New" w:cs="Courier New"/>
      <w:sz w:val="20"/>
      <w:szCs w:val="20"/>
      <w:lang w:eastAsia="id-ID"/>
    </w:rPr>
  </w:style>
  <w:style w:type="paragraph" w:customStyle="1" w:styleId="ListParagraph1">
    <w:name w:val="List Paragraph1"/>
    <w:basedOn w:val="Normal"/>
    <w:link w:val="ListParagraphChar"/>
    <w:uiPriority w:val="34"/>
    <w:qFormat/>
    <w:rsid w:val="00B4477A"/>
    <w:pPr>
      <w:spacing w:before="100" w:beforeAutospacing="1" w:after="100" w:afterAutospacing="1"/>
      <w:jc w:val="left"/>
    </w:pPr>
    <w:rPr>
      <w:rFonts w:eastAsia="Times New Roman"/>
      <w:kern w:val="0"/>
      <w:lang w:eastAsia="id-ID"/>
    </w:rPr>
  </w:style>
  <w:style w:type="character" w:styleId="Hyperlink">
    <w:name w:val="Hyperlink"/>
    <w:basedOn w:val="DefaultParagraphFont"/>
    <w:uiPriority w:val="99"/>
    <w:unhideWhenUsed/>
    <w:rsid w:val="00B4477A"/>
    <w:rPr>
      <w:color w:val="0000FF" w:themeColor="hyperlink"/>
      <w:u w:val="single"/>
    </w:rPr>
  </w:style>
  <w:style w:type="character" w:customStyle="1" w:styleId="Heading1Char">
    <w:name w:val="Heading 1 Char"/>
    <w:basedOn w:val="DefaultParagraphFont"/>
    <w:link w:val="Heading1"/>
    <w:uiPriority w:val="9"/>
    <w:rsid w:val="002A5F58"/>
    <w:rPr>
      <w:rFonts w:ascii="Helvetica" w:eastAsia="Times New Roman" w:hAnsi="Helvetica" w:cs="Times New Roman"/>
      <w:b/>
      <w:kern w:val="28"/>
      <w:szCs w:val="20"/>
      <w:lang w:val="en-US"/>
    </w:rPr>
  </w:style>
  <w:style w:type="paragraph" w:customStyle="1" w:styleId="Author">
    <w:name w:val="Author"/>
    <w:basedOn w:val="Normal"/>
    <w:rsid w:val="002A5F58"/>
    <w:pPr>
      <w:spacing w:before="0" w:after="80"/>
      <w:ind w:left="0" w:firstLine="144"/>
      <w:jc w:val="left"/>
    </w:pPr>
    <w:rPr>
      <w:rFonts w:ascii="Helvetica" w:eastAsia="Times New Roman" w:hAnsi="Helvetica"/>
      <w:b/>
      <w:kern w:val="0"/>
      <w:sz w:val="20"/>
      <w:szCs w:val="20"/>
    </w:rPr>
  </w:style>
  <w:style w:type="paragraph" w:styleId="Bibliography">
    <w:name w:val="Bibliography"/>
    <w:basedOn w:val="Normal"/>
    <w:next w:val="Normal"/>
    <w:uiPriority w:val="37"/>
    <w:unhideWhenUsed/>
    <w:rsid w:val="00DB2428"/>
  </w:style>
  <w:style w:type="paragraph" w:styleId="NormalWeb">
    <w:name w:val="Normal (Web)"/>
    <w:basedOn w:val="Normal"/>
    <w:unhideWhenUsed/>
    <w:rsid w:val="00DB2428"/>
    <w:pPr>
      <w:spacing w:before="100" w:beforeAutospacing="1" w:after="100" w:afterAutospacing="1"/>
      <w:ind w:left="0"/>
      <w:jc w:val="left"/>
    </w:pPr>
    <w:rPr>
      <w:rFonts w:eastAsia="Times New Roman"/>
      <w:kern w:val="0"/>
    </w:rPr>
  </w:style>
  <w:style w:type="paragraph" w:styleId="BodyTextIndent">
    <w:name w:val="Body Text Indent"/>
    <w:basedOn w:val="Normal"/>
    <w:link w:val="BodyTextIndentChar"/>
    <w:uiPriority w:val="99"/>
    <w:semiHidden/>
    <w:unhideWhenUsed/>
    <w:rsid w:val="00DB2428"/>
    <w:pPr>
      <w:spacing w:before="200" w:line="276" w:lineRule="auto"/>
      <w:ind w:left="360"/>
    </w:pPr>
    <w:rPr>
      <w:rFonts w:asciiTheme="minorHAnsi" w:eastAsia="Times New Roman" w:hAnsiTheme="minorHAnsi" w:cs="Arial"/>
      <w:kern w:val="0"/>
      <w:sz w:val="22"/>
      <w:szCs w:val="22"/>
    </w:rPr>
  </w:style>
  <w:style w:type="character" w:customStyle="1" w:styleId="BodyTextIndentChar">
    <w:name w:val="Body Text Indent Char"/>
    <w:basedOn w:val="DefaultParagraphFont"/>
    <w:link w:val="BodyTextIndent"/>
    <w:uiPriority w:val="99"/>
    <w:semiHidden/>
    <w:rsid w:val="00DB2428"/>
    <w:rPr>
      <w:rFonts w:eastAsia="Times New Roman" w:cs="Arial"/>
      <w:lang w:val="en-US"/>
    </w:rPr>
  </w:style>
  <w:style w:type="paragraph" w:styleId="PlainText">
    <w:name w:val="Plain Text"/>
    <w:basedOn w:val="Normal"/>
    <w:link w:val="PlainTextChar"/>
    <w:rsid w:val="005C3B30"/>
    <w:pPr>
      <w:spacing w:before="0" w:after="0"/>
      <w:ind w:left="0"/>
      <w:jc w:val="left"/>
    </w:pPr>
    <w:rPr>
      <w:rFonts w:ascii="Courier New" w:eastAsia="Times New Roman" w:hAnsi="Courier New"/>
      <w:kern w:val="0"/>
      <w:sz w:val="20"/>
      <w:szCs w:val="20"/>
      <w:lang w:eastAsia="id-ID"/>
    </w:rPr>
  </w:style>
  <w:style w:type="character" w:customStyle="1" w:styleId="PlainTextChar">
    <w:name w:val="Plain Text Char"/>
    <w:basedOn w:val="DefaultParagraphFont"/>
    <w:link w:val="PlainText"/>
    <w:rsid w:val="005C3B30"/>
    <w:rPr>
      <w:rFonts w:ascii="Courier New" w:eastAsia="Times New Roman" w:hAnsi="Courier New" w:cs="Times New Roman"/>
      <w:sz w:val="20"/>
      <w:szCs w:val="20"/>
      <w:lang w:val="en-US" w:eastAsia="id-ID"/>
    </w:rPr>
  </w:style>
  <w:style w:type="character" w:customStyle="1" w:styleId="a">
    <w:name w:val="a"/>
    <w:basedOn w:val="DefaultParagraphFont"/>
    <w:rsid w:val="0090227D"/>
  </w:style>
  <w:style w:type="character" w:customStyle="1" w:styleId="apple-converted-space">
    <w:name w:val="apple-converted-space"/>
    <w:basedOn w:val="DefaultParagraphFont"/>
    <w:rsid w:val="0090227D"/>
  </w:style>
  <w:style w:type="character" w:customStyle="1" w:styleId="l6">
    <w:name w:val="l6"/>
    <w:basedOn w:val="DefaultParagraphFont"/>
    <w:rsid w:val="0090227D"/>
  </w:style>
  <w:style w:type="character" w:customStyle="1" w:styleId="shorttext">
    <w:name w:val="short_text"/>
    <w:basedOn w:val="DefaultParagraphFont"/>
    <w:rsid w:val="000170EE"/>
  </w:style>
  <w:style w:type="character" w:customStyle="1" w:styleId="16">
    <w:name w:val="16"/>
    <w:basedOn w:val="DefaultParagraphFont"/>
    <w:rsid w:val="00C12EE6"/>
    <w:rPr>
      <w:rFonts w:ascii="Calibri" w:hAnsi="Calibri" w:cs="Calibri" w:hint="default"/>
      <w:color w:val="0000FF"/>
      <w:u w:val="single"/>
    </w:rPr>
  </w:style>
  <w:style w:type="paragraph" w:styleId="EndnoteText">
    <w:name w:val="endnote text"/>
    <w:basedOn w:val="Normal"/>
    <w:link w:val="EndnoteTextChar"/>
    <w:uiPriority w:val="99"/>
    <w:unhideWhenUsed/>
    <w:rsid w:val="00FE4272"/>
    <w:pPr>
      <w:spacing w:before="0" w:after="0"/>
      <w:ind w:left="0"/>
      <w:jc w:val="left"/>
    </w:pPr>
    <w:rPr>
      <w:rFonts w:ascii="Calibri" w:eastAsia="Calibri" w:hAnsi="Calibri"/>
      <w:kern w:val="0"/>
      <w:sz w:val="20"/>
      <w:szCs w:val="20"/>
    </w:rPr>
  </w:style>
  <w:style w:type="character" w:customStyle="1" w:styleId="EndnoteTextChar">
    <w:name w:val="Endnote Text Char"/>
    <w:basedOn w:val="DefaultParagraphFont"/>
    <w:link w:val="EndnoteText"/>
    <w:uiPriority w:val="99"/>
    <w:rsid w:val="00FE4272"/>
    <w:rPr>
      <w:rFonts w:ascii="Calibri" w:eastAsia="Calibri" w:hAnsi="Calibri" w:cs="Times New Roman"/>
      <w:sz w:val="20"/>
      <w:szCs w:val="20"/>
      <w:lang w:val="en-US"/>
    </w:rPr>
  </w:style>
  <w:style w:type="character" w:styleId="EndnoteReference">
    <w:name w:val="endnote reference"/>
    <w:uiPriority w:val="99"/>
    <w:unhideWhenUsed/>
    <w:rsid w:val="00FE4272"/>
    <w:rPr>
      <w:vertAlign w:val="superscript"/>
    </w:rPr>
  </w:style>
  <w:style w:type="character" w:customStyle="1" w:styleId="reference-text">
    <w:name w:val="reference-text"/>
    <w:basedOn w:val="DefaultParagraphFont"/>
    <w:rsid w:val="005E738C"/>
  </w:style>
  <w:style w:type="character" w:customStyle="1" w:styleId="hps">
    <w:name w:val="hps"/>
    <w:basedOn w:val="DefaultParagraphFont"/>
    <w:uiPriority w:val="99"/>
    <w:rsid w:val="00D12F61"/>
  </w:style>
  <w:style w:type="character" w:customStyle="1" w:styleId="definition">
    <w:name w:val="definition"/>
    <w:basedOn w:val="DefaultParagraphFont"/>
    <w:rsid w:val="00D12F61"/>
    <w:rPr>
      <w:rFonts w:cs="Times New Roman"/>
    </w:rPr>
  </w:style>
  <w:style w:type="character" w:customStyle="1" w:styleId="ListParagraphChar">
    <w:name w:val="List Paragraph Char"/>
    <w:aliases w:val="Tabel Char,kepala Char,point-point Char,List Paragraph1 Char,Judul super kecil Char,Body of text Char"/>
    <w:link w:val="ListParagraph1"/>
    <w:uiPriority w:val="34"/>
    <w:qFormat/>
    <w:locked/>
    <w:rsid w:val="00D12F61"/>
    <w:rPr>
      <w:rFonts w:ascii="Times New Roman" w:eastAsia="Times New Roman" w:hAnsi="Times New Roman" w:cs="Times New Roman"/>
      <w:sz w:val="24"/>
      <w:szCs w:val="24"/>
      <w:lang w:val="en-US" w:eastAsia="id-ID"/>
    </w:rPr>
  </w:style>
  <w:style w:type="character" w:customStyle="1" w:styleId="alt-edited">
    <w:name w:val="alt-edited"/>
    <w:basedOn w:val="DefaultParagraphFont"/>
    <w:rsid w:val="00084BED"/>
  </w:style>
  <w:style w:type="character" w:styleId="Strong">
    <w:name w:val="Strong"/>
    <w:basedOn w:val="DefaultParagraphFont"/>
    <w:uiPriority w:val="22"/>
    <w:qFormat/>
    <w:rsid w:val="00084BED"/>
    <w:rPr>
      <w:b/>
      <w:bCs/>
    </w:rPr>
  </w:style>
  <w:style w:type="character" w:customStyle="1" w:styleId="15">
    <w:name w:val="15"/>
    <w:basedOn w:val="DefaultParagraphFont"/>
    <w:qFormat/>
    <w:rsid w:val="003C4330"/>
    <w:rPr>
      <w:rFonts w:ascii="Courier New" w:eastAsia="Times New Roman" w:hAnsi="Courier New" w:cs="Courier New" w:hint="default"/>
      <w:sz w:val="20"/>
      <w:szCs w:val="20"/>
    </w:rPr>
  </w:style>
  <w:style w:type="paragraph" w:styleId="NoSpacing">
    <w:name w:val="No Spacing"/>
    <w:link w:val="NoSpacingChar"/>
    <w:uiPriority w:val="1"/>
    <w:qFormat/>
    <w:rsid w:val="006414C5"/>
    <w:pPr>
      <w:spacing w:after="0" w:line="240" w:lineRule="auto"/>
    </w:pPr>
    <w:rPr>
      <w:rFonts w:eastAsiaTheme="minorEastAsia"/>
      <w:lang w:eastAsia="id-ID"/>
    </w:rPr>
  </w:style>
  <w:style w:type="character" w:customStyle="1" w:styleId="date-text">
    <w:name w:val="date-text"/>
    <w:basedOn w:val="DefaultParagraphFont"/>
    <w:rsid w:val="006414C5"/>
  </w:style>
  <w:style w:type="paragraph" w:styleId="BodyText">
    <w:name w:val="Body Text"/>
    <w:basedOn w:val="Normal"/>
    <w:link w:val="BodyTextChar"/>
    <w:uiPriority w:val="99"/>
    <w:semiHidden/>
    <w:unhideWhenUsed/>
    <w:rsid w:val="000B1ADA"/>
  </w:style>
  <w:style w:type="character" w:customStyle="1" w:styleId="BodyTextChar">
    <w:name w:val="Body Text Char"/>
    <w:basedOn w:val="DefaultParagraphFont"/>
    <w:link w:val="BodyText"/>
    <w:uiPriority w:val="99"/>
    <w:semiHidden/>
    <w:rsid w:val="000B1ADA"/>
    <w:rPr>
      <w:rFonts w:ascii="Times New Roman" w:hAnsi="Times New Roman" w:cs="Times New Roman"/>
      <w:kern w:val="24"/>
      <w:sz w:val="24"/>
      <w:szCs w:val="24"/>
      <w:lang w:val="en-US"/>
    </w:rPr>
  </w:style>
  <w:style w:type="character" w:styleId="CommentReference">
    <w:name w:val="annotation reference"/>
    <w:uiPriority w:val="99"/>
    <w:semiHidden/>
    <w:unhideWhenUsed/>
    <w:rsid w:val="000B1ADA"/>
    <w:rPr>
      <w:sz w:val="16"/>
      <w:szCs w:val="16"/>
    </w:rPr>
  </w:style>
  <w:style w:type="paragraph" w:styleId="CommentText">
    <w:name w:val="annotation text"/>
    <w:basedOn w:val="Normal"/>
    <w:link w:val="CommentTextChar"/>
    <w:uiPriority w:val="99"/>
    <w:semiHidden/>
    <w:unhideWhenUsed/>
    <w:rsid w:val="000B1ADA"/>
    <w:pPr>
      <w:spacing w:before="0" w:after="200" w:line="276" w:lineRule="auto"/>
      <w:ind w:left="0"/>
      <w:jc w:val="left"/>
    </w:pPr>
    <w:rPr>
      <w:rFonts w:ascii="Calibri" w:eastAsia="Calibri" w:hAnsi="Calibri"/>
      <w:kern w:val="0"/>
      <w:sz w:val="20"/>
      <w:szCs w:val="20"/>
    </w:rPr>
  </w:style>
  <w:style w:type="character" w:customStyle="1" w:styleId="CommentTextChar">
    <w:name w:val="Comment Text Char"/>
    <w:basedOn w:val="DefaultParagraphFont"/>
    <w:link w:val="CommentText"/>
    <w:uiPriority w:val="99"/>
    <w:semiHidden/>
    <w:rsid w:val="000B1ADA"/>
    <w:rPr>
      <w:rFonts w:ascii="Calibri" w:eastAsia="Calibri" w:hAnsi="Calibri" w:cs="Times New Roman"/>
      <w:sz w:val="20"/>
      <w:szCs w:val="20"/>
      <w:lang w:val="en-US"/>
    </w:rPr>
  </w:style>
  <w:style w:type="paragraph" w:styleId="TOCHeading">
    <w:name w:val="TOC Heading"/>
    <w:basedOn w:val="Heading1"/>
    <w:next w:val="Normal"/>
    <w:uiPriority w:val="39"/>
    <w:unhideWhenUsed/>
    <w:qFormat/>
    <w:rsid w:val="00E07A6A"/>
    <w:pPr>
      <w:keepLines/>
      <w:spacing w:before="48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TOC1">
    <w:name w:val="toc 1"/>
    <w:basedOn w:val="Normal"/>
    <w:next w:val="Normal"/>
    <w:autoRedefine/>
    <w:uiPriority w:val="39"/>
    <w:unhideWhenUsed/>
    <w:qFormat/>
    <w:rsid w:val="00BE279C"/>
    <w:pPr>
      <w:spacing w:before="0" w:after="0"/>
      <w:ind w:left="0"/>
    </w:pPr>
    <w:rPr>
      <w:bCs/>
      <w:sz w:val="20"/>
      <w:szCs w:val="20"/>
      <w:lang w:val="id-ID"/>
    </w:rPr>
  </w:style>
  <w:style w:type="paragraph" w:styleId="TOC2">
    <w:name w:val="toc 2"/>
    <w:basedOn w:val="Normal"/>
    <w:next w:val="Normal"/>
    <w:autoRedefine/>
    <w:uiPriority w:val="39"/>
    <w:unhideWhenUsed/>
    <w:qFormat/>
    <w:rsid w:val="00074206"/>
    <w:pPr>
      <w:spacing w:before="0" w:after="0"/>
      <w:ind w:left="0"/>
    </w:pPr>
    <w:rPr>
      <w:rFonts w:eastAsia="Calibri"/>
      <w:bCs/>
      <w:color w:val="000000" w:themeColor="text1"/>
      <w:sz w:val="20"/>
      <w:szCs w:val="20"/>
      <w:lang w:val="en-GB"/>
    </w:rPr>
  </w:style>
  <w:style w:type="paragraph" w:styleId="TOC3">
    <w:name w:val="toc 3"/>
    <w:basedOn w:val="Normal"/>
    <w:next w:val="Normal"/>
    <w:autoRedefine/>
    <w:uiPriority w:val="39"/>
    <w:unhideWhenUsed/>
    <w:qFormat/>
    <w:rsid w:val="00DF4BF0"/>
    <w:pPr>
      <w:numPr>
        <w:numId w:val="2"/>
      </w:numPr>
      <w:tabs>
        <w:tab w:val="left" w:pos="8647"/>
      </w:tabs>
      <w:spacing w:before="0" w:after="0"/>
      <w:ind w:left="360"/>
    </w:pPr>
    <w:rPr>
      <w:rFonts w:eastAsia="Times New Roman"/>
      <w:color w:val="212121"/>
      <w:spacing w:val="-8"/>
      <w:kern w:val="0"/>
      <w:sz w:val="20"/>
      <w:szCs w:val="20"/>
      <w:lang w:val="en-GB" w:eastAsia="id-ID"/>
    </w:rPr>
  </w:style>
  <w:style w:type="character" w:customStyle="1" w:styleId="addmd1">
    <w:name w:val="addmd1"/>
    <w:rsid w:val="000D4F78"/>
    <w:rPr>
      <w:sz w:val="20"/>
      <w:szCs w:val="20"/>
    </w:rPr>
  </w:style>
  <w:style w:type="character" w:customStyle="1" w:styleId="tgc">
    <w:name w:val="_tgc"/>
    <w:basedOn w:val="DefaultParagraphFont"/>
    <w:rsid w:val="000C3F0D"/>
  </w:style>
  <w:style w:type="paragraph" w:customStyle="1" w:styleId="Normal1">
    <w:name w:val="Normal1"/>
    <w:basedOn w:val="Normal"/>
    <w:rsid w:val="00C558B2"/>
    <w:pPr>
      <w:spacing w:before="100" w:beforeAutospacing="1" w:after="100" w:afterAutospacing="1"/>
      <w:ind w:left="0"/>
      <w:jc w:val="left"/>
    </w:pPr>
    <w:rPr>
      <w:rFonts w:eastAsia="Times New Roman"/>
      <w:kern w:val="0"/>
      <w:lang w:val="id-ID" w:eastAsia="id-ID"/>
    </w:rPr>
  </w:style>
  <w:style w:type="table" w:customStyle="1" w:styleId="PlainTable1">
    <w:name w:val="Plain Table 1"/>
    <w:basedOn w:val="TableNormal"/>
    <w:uiPriority w:val="41"/>
    <w:rsid w:val="008175A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7A3080"/>
    <w:rPr>
      <w:rFonts w:eastAsiaTheme="minorEastAsia"/>
      <w:lang w:eastAsia="id-ID"/>
    </w:rPr>
  </w:style>
  <w:style w:type="paragraph" w:styleId="BodyText3">
    <w:name w:val="Body Text 3"/>
    <w:basedOn w:val="Normal"/>
    <w:link w:val="BodyText3Char"/>
    <w:unhideWhenUsed/>
    <w:rsid w:val="007A3080"/>
    <w:rPr>
      <w:sz w:val="16"/>
      <w:szCs w:val="16"/>
    </w:rPr>
  </w:style>
  <w:style w:type="character" w:customStyle="1" w:styleId="BodyText3Char">
    <w:name w:val="Body Text 3 Char"/>
    <w:basedOn w:val="DefaultParagraphFont"/>
    <w:link w:val="BodyText3"/>
    <w:rsid w:val="007A3080"/>
    <w:rPr>
      <w:rFonts w:ascii="Times New Roman" w:hAnsi="Times New Roman" w:cs="Times New Roman"/>
      <w:kern w:val="24"/>
      <w:sz w:val="16"/>
      <w:szCs w:val="16"/>
      <w:lang w:val="en-US"/>
    </w:rPr>
  </w:style>
  <w:style w:type="character" w:customStyle="1" w:styleId="atn">
    <w:name w:val="atn"/>
    <w:basedOn w:val="DefaultParagraphFont"/>
    <w:rsid w:val="007A3080"/>
  </w:style>
  <w:style w:type="character" w:styleId="Emphasis">
    <w:name w:val="Emphasis"/>
    <w:basedOn w:val="DefaultParagraphFont"/>
    <w:uiPriority w:val="20"/>
    <w:qFormat/>
    <w:rsid w:val="00EC0E03"/>
    <w:rPr>
      <w:i/>
      <w:iCs/>
    </w:rPr>
  </w:style>
  <w:style w:type="paragraph" w:customStyle="1" w:styleId="p0">
    <w:name w:val="p0"/>
    <w:basedOn w:val="Normal"/>
    <w:rsid w:val="00E955E0"/>
    <w:pPr>
      <w:spacing w:before="0" w:after="0"/>
      <w:ind w:left="0"/>
      <w:jc w:val="left"/>
    </w:pPr>
    <w:rPr>
      <w:rFonts w:eastAsia="Times New Roman"/>
      <w:kern w:val="0"/>
      <w:lang w:val="id-ID" w:eastAsia="id-ID"/>
    </w:rPr>
  </w:style>
  <w:style w:type="character" w:customStyle="1" w:styleId="Heading2Char">
    <w:name w:val="Heading 2 Char"/>
    <w:basedOn w:val="DefaultParagraphFont"/>
    <w:link w:val="Heading2"/>
    <w:uiPriority w:val="9"/>
    <w:semiHidden/>
    <w:rsid w:val="005C0ADD"/>
    <w:rPr>
      <w:rFonts w:asciiTheme="majorHAnsi" w:eastAsiaTheme="majorEastAsia" w:hAnsiTheme="majorHAnsi" w:cstheme="majorBidi"/>
      <w:b/>
      <w:bCs/>
      <w:color w:val="4F81BD" w:themeColor="accent1"/>
      <w:kern w:val="24"/>
      <w:sz w:val="26"/>
      <w:szCs w:val="26"/>
      <w:lang w:val="en-US"/>
    </w:rPr>
  </w:style>
  <w:style w:type="character" w:customStyle="1" w:styleId="Heading3Char">
    <w:name w:val="Heading 3 Char"/>
    <w:basedOn w:val="DefaultParagraphFont"/>
    <w:link w:val="Heading3"/>
    <w:uiPriority w:val="9"/>
    <w:semiHidden/>
    <w:rsid w:val="005C0ADD"/>
    <w:rPr>
      <w:rFonts w:asciiTheme="majorHAnsi" w:eastAsiaTheme="majorEastAsia" w:hAnsiTheme="majorHAnsi" w:cstheme="majorBidi"/>
      <w:b/>
      <w:bCs/>
      <w:color w:val="4F81BD" w:themeColor="accent1"/>
      <w:kern w:val="24"/>
      <w:sz w:val="24"/>
      <w:szCs w:val="24"/>
      <w:lang w:val="en-US"/>
    </w:rPr>
  </w:style>
  <w:style w:type="paragraph" w:customStyle="1" w:styleId="FirstIndentText">
    <w:name w:val="First Indent Text"/>
    <w:basedOn w:val="Normal"/>
    <w:qFormat/>
    <w:rsid w:val="007D39FE"/>
    <w:pPr>
      <w:spacing w:line="360" w:lineRule="auto"/>
      <w:ind w:left="0" w:firstLine="720"/>
    </w:pPr>
    <w:rPr>
      <w:kern w:val="0"/>
      <w:sz w:val="22"/>
      <w:szCs w:val="22"/>
    </w:rPr>
  </w:style>
  <w:style w:type="paragraph" w:customStyle="1" w:styleId="quotation">
    <w:name w:val="quotation"/>
    <w:basedOn w:val="FirstIndentText"/>
    <w:qFormat/>
    <w:rsid w:val="007D39FE"/>
    <w:pPr>
      <w:spacing w:after="240" w:line="240" w:lineRule="auto"/>
      <w:ind w:left="1134" w:firstLine="0"/>
    </w:pPr>
  </w:style>
  <w:style w:type="character" w:customStyle="1" w:styleId="gt-baf-word-clickable">
    <w:name w:val="gt-baf-word-clickable"/>
    <w:basedOn w:val="DefaultParagraphFont"/>
    <w:rsid w:val="004D4030"/>
  </w:style>
  <w:style w:type="character" w:customStyle="1" w:styleId="st">
    <w:name w:val="st"/>
    <w:basedOn w:val="DefaultParagraphFont"/>
    <w:rsid w:val="0024336F"/>
  </w:style>
  <w:style w:type="paragraph" w:styleId="ListBullet">
    <w:name w:val="List Bullet"/>
    <w:basedOn w:val="Normal"/>
    <w:uiPriority w:val="99"/>
    <w:unhideWhenUsed/>
    <w:rsid w:val="00AD63E8"/>
    <w:pPr>
      <w:numPr>
        <w:numId w:val="3"/>
      </w:numPr>
      <w:contextualSpacing/>
    </w:pPr>
  </w:style>
  <w:style w:type="character" w:customStyle="1" w:styleId="heading10">
    <w:name w:val="heading1"/>
    <w:basedOn w:val="DefaultParagraphFont"/>
    <w:rsid w:val="008F26B6"/>
  </w:style>
  <w:style w:type="character" w:customStyle="1" w:styleId="heading1b">
    <w:name w:val="heading1b"/>
    <w:basedOn w:val="DefaultParagraphFont"/>
    <w:rsid w:val="008F26B6"/>
  </w:style>
  <w:style w:type="paragraph" w:styleId="BodyText2">
    <w:name w:val="Body Text 2"/>
    <w:basedOn w:val="Normal"/>
    <w:link w:val="BodyText2Char"/>
    <w:uiPriority w:val="99"/>
    <w:semiHidden/>
    <w:unhideWhenUsed/>
    <w:rsid w:val="001F4E1F"/>
    <w:pPr>
      <w:spacing w:line="480" w:lineRule="auto"/>
    </w:pPr>
  </w:style>
  <w:style w:type="character" w:customStyle="1" w:styleId="BodyText2Char">
    <w:name w:val="Body Text 2 Char"/>
    <w:basedOn w:val="DefaultParagraphFont"/>
    <w:link w:val="BodyText2"/>
    <w:uiPriority w:val="99"/>
    <w:semiHidden/>
    <w:rsid w:val="001F4E1F"/>
    <w:rPr>
      <w:rFonts w:ascii="Times New Roman" w:hAnsi="Times New Roman" w:cs="Times New Roman"/>
      <w:kern w:val="24"/>
      <w:sz w:val="24"/>
      <w:szCs w:val="24"/>
      <w:lang w:val="en-US"/>
    </w:rPr>
  </w:style>
  <w:style w:type="paragraph" w:styleId="Title">
    <w:name w:val="Title"/>
    <w:basedOn w:val="Normal"/>
    <w:next w:val="Normal"/>
    <w:link w:val="TitleChar"/>
    <w:uiPriority w:val="10"/>
    <w:qFormat/>
    <w:rsid w:val="00394F01"/>
    <w:pPr>
      <w:pBdr>
        <w:bottom w:val="single" w:sz="8" w:space="4" w:color="4F81BD" w:themeColor="accent1"/>
      </w:pBdr>
      <w:spacing w:before="0" w:after="300"/>
      <w:ind w:left="0"/>
      <w:contextualSpacing/>
      <w:jc w:val="left"/>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94F01"/>
    <w:rPr>
      <w:rFonts w:asciiTheme="majorHAnsi" w:eastAsiaTheme="majorEastAsia" w:hAnsiTheme="majorHAnsi" w:cstheme="majorBidi"/>
      <w:color w:val="17365D" w:themeColor="text2" w:themeShade="BF"/>
      <w:spacing w:val="5"/>
      <w:kern w:val="28"/>
      <w:sz w:val="52"/>
      <w:szCs w:val="52"/>
      <w:lang w:val="en-US"/>
    </w:rPr>
  </w:style>
  <w:style w:type="character" w:customStyle="1" w:styleId="keywordheadChar">
    <w:name w:val="keyword head Char"/>
    <w:rsid w:val="00394F01"/>
    <w:rPr>
      <w:rFonts w:eastAsia="MS Mincho"/>
      <w:b/>
      <w:bCs/>
      <w:sz w:val="24"/>
      <w:lang w:val="en-GB" w:eastAsia="zh-CN" w:bidi="ar-SA"/>
    </w:rPr>
  </w:style>
  <w:style w:type="character" w:customStyle="1" w:styleId="mceheading">
    <w:name w:val="mce_heading"/>
    <w:basedOn w:val="DefaultParagraphFont"/>
    <w:rsid w:val="003D55F6"/>
  </w:style>
  <w:style w:type="character" w:customStyle="1" w:styleId="mcesubheading">
    <w:name w:val="mce_sub_heading"/>
    <w:basedOn w:val="DefaultParagraphFont"/>
    <w:rsid w:val="003D55F6"/>
  </w:style>
  <w:style w:type="character" w:customStyle="1" w:styleId="InternetLink">
    <w:name w:val="Internet Link"/>
    <w:basedOn w:val="DefaultParagraphFont"/>
    <w:uiPriority w:val="99"/>
    <w:unhideWhenUsed/>
    <w:rsid w:val="009263C2"/>
    <w:rPr>
      <w:color w:val="0000FF" w:themeColor="hyperlink"/>
      <w:u w:val="single"/>
    </w:rPr>
  </w:style>
  <w:style w:type="character" w:customStyle="1" w:styleId="highlighted">
    <w:name w:val="highlighted"/>
    <w:basedOn w:val="DefaultParagraphFont"/>
    <w:qFormat/>
    <w:rsid w:val="009263C2"/>
  </w:style>
  <w:style w:type="character" w:customStyle="1" w:styleId="yellowfade">
    <w:name w:val="yellowfade"/>
    <w:basedOn w:val="DefaultParagraphFont"/>
    <w:rsid w:val="00CA55F8"/>
  </w:style>
  <w:style w:type="character" w:customStyle="1" w:styleId="Heading4Char">
    <w:name w:val="Heading 4 Char"/>
    <w:basedOn w:val="DefaultParagraphFont"/>
    <w:link w:val="Heading4"/>
    <w:uiPriority w:val="9"/>
    <w:semiHidden/>
    <w:rsid w:val="00CA55F8"/>
    <w:rPr>
      <w:rFonts w:asciiTheme="majorHAnsi" w:eastAsiaTheme="majorEastAsia" w:hAnsiTheme="majorHAnsi" w:cstheme="majorBidi"/>
      <w:b/>
      <w:bCs/>
      <w:i/>
      <w:iCs/>
      <w:color w:val="4F81BD" w:themeColor="accent1"/>
      <w:kern w:val="24"/>
      <w:sz w:val="24"/>
      <w:szCs w:val="24"/>
      <w:lang w:val="en-US"/>
    </w:rPr>
  </w:style>
  <w:style w:type="character" w:customStyle="1" w:styleId="Heading5Char">
    <w:name w:val="Heading 5 Char"/>
    <w:basedOn w:val="DefaultParagraphFont"/>
    <w:link w:val="Heading5"/>
    <w:uiPriority w:val="9"/>
    <w:semiHidden/>
    <w:rsid w:val="00CA55F8"/>
    <w:rPr>
      <w:rFonts w:asciiTheme="majorHAnsi" w:eastAsiaTheme="majorEastAsia" w:hAnsiTheme="majorHAnsi" w:cstheme="majorBidi"/>
      <w:color w:val="243F60" w:themeColor="accent1" w:themeShade="7F"/>
      <w:kern w:val="24"/>
      <w:sz w:val="24"/>
      <w:szCs w:val="24"/>
      <w:lang w:val="en-US"/>
    </w:rPr>
  </w:style>
  <w:style w:type="character" w:customStyle="1" w:styleId="Heading6Char">
    <w:name w:val="Heading 6 Char"/>
    <w:basedOn w:val="DefaultParagraphFont"/>
    <w:link w:val="Heading6"/>
    <w:uiPriority w:val="9"/>
    <w:semiHidden/>
    <w:rsid w:val="00CA55F8"/>
    <w:rPr>
      <w:rFonts w:asciiTheme="majorHAnsi" w:eastAsiaTheme="majorEastAsia" w:hAnsiTheme="majorHAnsi" w:cstheme="majorBidi"/>
      <w:i/>
      <w:iCs/>
      <w:color w:val="243F60" w:themeColor="accent1" w:themeShade="7F"/>
      <w:kern w:val="24"/>
      <w:sz w:val="24"/>
      <w:szCs w:val="24"/>
    </w:rPr>
  </w:style>
  <w:style w:type="character" w:customStyle="1" w:styleId="cabu01kompas2011">
    <w:name w:val="c_abu01_kompas2011"/>
    <w:basedOn w:val="DefaultParagraphFont"/>
    <w:rsid w:val="00181356"/>
  </w:style>
</w:styles>
</file>

<file path=word/webSettings.xml><?xml version="1.0" encoding="utf-8"?>
<w:webSettings xmlns:r="http://schemas.openxmlformats.org/officeDocument/2006/relationships" xmlns:w="http://schemas.openxmlformats.org/wordprocessingml/2006/main">
  <w:divs>
    <w:div w:id="1207686">
      <w:bodyDiv w:val="1"/>
      <w:marLeft w:val="0"/>
      <w:marRight w:val="0"/>
      <w:marTop w:val="0"/>
      <w:marBottom w:val="0"/>
      <w:divBdr>
        <w:top w:val="none" w:sz="0" w:space="0" w:color="auto"/>
        <w:left w:val="none" w:sz="0" w:space="0" w:color="auto"/>
        <w:bottom w:val="none" w:sz="0" w:space="0" w:color="auto"/>
        <w:right w:val="none" w:sz="0" w:space="0" w:color="auto"/>
      </w:divBdr>
    </w:div>
    <w:div w:id="1821386100">
      <w:bodyDiv w:val="1"/>
      <w:marLeft w:val="0"/>
      <w:marRight w:val="0"/>
      <w:marTop w:val="0"/>
      <w:marBottom w:val="0"/>
      <w:divBdr>
        <w:top w:val="none" w:sz="0" w:space="0" w:color="auto"/>
        <w:left w:val="none" w:sz="0" w:space="0" w:color="auto"/>
        <w:bottom w:val="none" w:sz="0" w:space="0" w:color="auto"/>
        <w:right w:val="none" w:sz="0" w:space="0" w:color="auto"/>
      </w:divBdr>
      <w:divsChild>
        <w:div w:id="543829477">
          <w:marLeft w:val="0"/>
          <w:marRight w:val="0"/>
          <w:marTop w:val="0"/>
          <w:marBottom w:val="0"/>
          <w:divBdr>
            <w:top w:val="none" w:sz="0" w:space="0" w:color="auto"/>
            <w:left w:val="none" w:sz="0" w:space="0" w:color="auto"/>
            <w:bottom w:val="none" w:sz="0" w:space="0" w:color="auto"/>
            <w:right w:val="none" w:sz="0" w:space="0" w:color="auto"/>
          </w:divBdr>
        </w:div>
        <w:div w:id="548340465">
          <w:marLeft w:val="0"/>
          <w:marRight w:val="0"/>
          <w:marTop w:val="0"/>
          <w:marBottom w:val="0"/>
          <w:divBdr>
            <w:top w:val="none" w:sz="0" w:space="0" w:color="auto"/>
            <w:left w:val="none" w:sz="0" w:space="0" w:color="auto"/>
            <w:bottom w:val="none" w:sz="0" w:space="0" w:color="auto"/>
            <w:right w:val="none" w:sz="0" w:space="0" w:color="auto"/>
          </w:divBdr>
        </w:div>
        <w:div w:id="1101949286">
          <w:marLeft w:val="0"/>
          <w:marRight w:val="0"/>
          <w:marTop w:val="0"/>
          <w:marBottom w:val="0"/>
          <w:divBdr>
            <w:top w:val="none" w:sz="0" w:space="0" w:color="auto"/>
            <w:left w:val="none" w:sz="0" w:space="0" w:color="auto"/>
            <w:bottom w:val="none" w:sz="0" w:space="0" w:color="auto"/>
            <w:right w:val="none" w:sz="0" w:space="0" w:color="auto"/>
          </w:divBdr>
        </w:div>
        <w:div w:id="1833182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mailto:muhajirin_uin@radenfatah.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Adv15</b:Tag>
    <b:SourceType>ElectronicSource</b:SourceType>
    <b:Guid>{6424232A-4877-4E07-AB75-4FB53D451ACC}</b:Guid>
    <b:Title>2015, Pengguna Smartphone di Indonesia Capai 55 Juta</b:Title>
    <b:Year>2015</b:Year>
    <b:Month>10</b:Month>
    <b:Day>20</b:Day>
    <b:Author>
      <b:Author>
        <b:NameList>
          <b:Person>
            <b:Last>Jose</b:Last>
            <b:First>Advent</b:First>
          </b:Person>
        </b:NameList>
      </b:Author>
    </b:Author>
    <b:URL>http://techno.okezone.com/read/2015/09/19/57/1217340/2015-pengguna-smartphone-di-indonesia-capai-55-juta</b:URL>
    <b:RefOrder>8</b:RefOrder>
  </b:Source>
</b:Sources>
</file>

<file path=customXml/itemProps1.xml><?xml version="1.0" encoding="utf-8"?>
<ds:datastoreItem xmlns:ds="http://schemas.openxmlformats.org/officeDocument/2006/customXml" ds:itemID="{B99BEC90-90AC-47F9-AB22-B71B7541F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6917</Words>
  <Characters>39430</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neWbieee</cp:lastModifiedBy>
  <cp:revision>5</cp:revision>
  <cp:lastPrinted>2016-12-09T10:05:00Z</cp:lastPrinted>
  <dcterms:created xsi:type="dcterms:W3CDTF">2016-12-12T07:20:00Z</dcterms:created>
  <dcterms:modified xsi:type="dcterms:W3CDTF">2016-12-18T16:05:00Z</dcterms:modified>
</cp:coreProperties>
</file>